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both"/>
        <w:textAlignment w:val="auto"/>
        <w:rPr>
          <w:rFonts w:ascii="Calibri" w:hAnsi="Calibri" w:cs="Calibri"/>
          <w:i w:val="0"/>
          <w:caps w:val="0"/>
          <w:color w:val="000000"/>
          <w:spacing w:val="0"/>
          <w:sz w:val="21"/>
          <w:szCs w:val="21"/>
        </w:rPr>
      </w:pPr>
      <w:bookmarkStart w:id="0" w:name="_GoBack"/>
      <w:r>
        <w:rPr>
          <w:rFonts w:ascii="方正小标宋简体" w:hAnsi="方正小标宋简体" w:eastAsia="方正小标宋简体" w:cs="方正小标宋简体"/>
          <w:i w:val="0"/>
          <w:caps w:val="0"/>
          <w:color w:val="000000"/>
          <w:spacing w:val="0"/>
          <w:sz w:val="44"/>
          <w:szCs w:val="44"/>
          <w:bdr w:val="none" w:color="auto" w:sz="0" w:space="0"/>
          <w:shd w:val="clear" w:fill="FFFFFF"/>
        </w:rPr>
        <w:t>察布查尔县</w:t>
      </w: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rPr>
        <w:t>专职人民调解员管理办法</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default" w:ascii="Calibri" w:hAnsi="Calibri" w:cs="Calibri"/>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ascii="方正仿宋简体" w:hAnsi="方正仿宋简体" w:eastAsia="方正仿宋简体" w:cs="方正仿宋简体"/>
          <w:i w:val="0"/>
          <w:caps w:val="0"/>
          <w:color w:val="000000"/>
          <w:spacing w:val="0"/>
          <w:sz w:val="32"/>
          <w:szCs w:val="32"/>
          <w:bdr w:val="none" w:color="auto" w:sz="0" w:space="0"/>
          <w:shd w:val="clear" w:fill="FFFFFF"/>
        </w:rPr>
        <w:t>为</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进一步做好《新疆维吾尔自治区矛盾纠纷多元化解条例》贯彻落实工作，加强全县专职人民调解员队伍建设，规范专职人民调解员管理，充分发挥专职人民调解员作用，根据《中华人民共和国人民调解法》《关于加强人民调解员队伍建设的意见》（司发〔</w:t>
      </w:r>
      <w:r>
        <w:rPr>
          <w:rFonts w:hint="eastAsia" w:ascii="宋体" w:hAnsi="宋体" w:eastAsia="宋体" w:cs="宋体"/>
          <w:i w:val="0"/>
          <w:caps w:val="0"/>
          <w:color w:val="000000"/>
          <w:spacing w:val="0"/>
          <w:sz w:val="32"/>
          <w:szCs w:val="32"/>
          <w:bdr w:val="none" w:color="auto" w:sz="0" w:space="0"/>
          <w:shd w:val="clear" w:fill="FFFFFF"/>
        </w:rPr>
        <w:t>2018</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w:t>
      </w:r>
      <w:r>
        <w:rPr>
          <w:rFonts w:hint="eastAsia" w:ascii="宋体" w:hAnsi="宋体" w:eastAsia="宋体" w:cs="宋体"/>
          <w:i w:val="0"/>
          <w:caps w:val="0"/>
          <w:color w:val="000000"/>
          <w:spacing w:val="0"/>
          <w:sz w:val="32"/>
          <w:szCs w:val="32"/>
          <w:bdr w:val="none" w:color="auto" w:sz="0" w:space="0"/>
          <w:shd w:val="clear" w:fill="FFFFFF"/>
        </w:rPr>
        <w:t>2</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号）《新疆维吾尔自治区人民调解条例》和有关规定，结合我县实际，制定本办法。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第一条 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 本办法所称专职人民调解员是指接受相关人民调解委员会聘任，在人民调解委员会组织下专门从事社会矛盾纠纷调解的工作人员。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第二条 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 专职人民调解员由各乡镇、各行业主管部门监督管理，司法行政机关和人民法院负责业务指导，业务培训由县司法局负责组织实施。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第三条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  本办法适用于人民调解中心、行业性、专业性人民调解委员会、乡镇人民调解委员会、村（社区）人民调解委员会。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第四条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  人民调解委员会根据需要配备专职人民调解员，原则上行业性专业性人民调解委员会不少于</w:t>
      </w:r>
      <w:r>
        <w:rPr>
          <w:rFonts w:hint="eastAsia" w:ascii="宋体" w:hAnsi="宋体" w:eastAsia="宋体" w:cs="宋体"/>
          <w:i w:val="0"/>
          <w:caps w:val="0"/>
          <w:color w:val="000000"/>
          <w:spacing w:val="0"/>
          <w:sz w:val="32"/>
          <w:szCs w:val="32"/>
          <w:bdr w:val="none" w:color="auto" w:sz="0" w:space="0"/>
          <w:shd w:val="clear" w:fill="FFFFFF"/>
        </w:rPr>
        <w:t>3</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名；县“一站式”矛盾纠纷调处中心至少配备</w:t>
      </w:r>
      <w:r>
        <w:rPr>
          <w:rFonts w:hint="eastAsia" w:ascii="宋体" w:hAnsi="宋体" w:eastAsia="宋体" w:cs="宋体"/>
          <w:i w:val="0"/>
          <w:caps w:val="0"/>
          <w:color w:val="000000"/>
          <w:spacing w:val="0"/>
          <w:sz w:val="32"/>
          <w:szCs w:val="32"/>
          <w:bdr w:val="none" w:color="auto" w:sz="0" w:space="0"/>
          <w:shd w:val="clear" w:fill="FFFFFF"/>
        </w:rPr>
        <w:t>3</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名专职人民调解员；乡镇人民调解委员会不少于</w:t>
      </w:r>
      <w:r>
        <w:rPr>
          <w:rFonts w:hint="eastAsia" w:ascii="宋体" w:hAnsi="宋体" w:eastAsia="宋体" w:cs="宋体"/>
          <w:i w:val="0"/>
          <w:caps w:val="0"/>
          <w:color w:val="000000"/>
          <w:spacing w:val="0"/>
          <w:sz w:val="32"/>
          <w:szCs w:val="32"/>
          <w:bdr w:val="none" w:color="auto" w:sz="0" w:space="0"/>
          <w:shd w:val="clear" w:fill="FFFFFF"/>
        </w:rPr>
        <w:t>2</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名；村（社区）人民调解委员会不少于</w:t>
      </w:r>
      <w:r>
        <w:rPr>
          <w:rFonts w:hint="eastAsia" w:ascii="宋体" w:hAnsi="宋体" w:eastAsia="宋体" w:cs="宋体"/>
          <w:i w:val="0"/>
          <w:caps w:val="0"/>
          <w:color w:val="000000"/>
          <w:spacing w:val="0"/>
          <w:sz w:val="32"/>
          <w:szCs w:val="32"/>
          <w:bdr w:val="none" w:color="auto" w:sz="0" w:space="0"/>
          <w:shd w:val="clear" w:fill="FFFFFF"/>
        </w:rPr>
        <w:t>1</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第五条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  专职人民调解员履行职责，受法律保护。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第六条 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 专职人民调解员实行聘任制度，按照德才兼备的标准择优录用。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第七条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  专职人民调解员应具备以下条件：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（一）拥护党的领导，遵守宪法和法律，品行良好，乐于奉献，公道正派；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（二）年龄一般在</w:t>
      </w:r>
      <w:r>
        <w:rPr>
          <w:rFonts w:hint="eastAsia" w:ascii="宋体" w:hAnsi="宋体" w:eastAsia="宋体" w:cs="宋体"/>
          <w:i w:val="0"/>
          <w:caps w:val="0"/>
          <w:color w:val="000000"/>
          <w:spacing w:val="0"/>
          <w:sz w:val="32"/>
          <w:szCs w:val="32"/>
          <w:bdr w:val="none" w:color="auto" w:sz="0" w:space="0"/>
          <w:shd w:val="clear" w:fill="FFFFFF"/>
        </w:rPr>
        <w:t>22</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周岁以上，</w:t>
      </w:r>
      <w:r>
        <w:rPr>
          <w:rFonts w:hint="eastAsia" w:ascii="宋体" w:hAnsi="宋体" w:eastAsia="宋体" w:cs="宋体"/>
          <w:i w:val="0"/>
          <w:caps w:val="0"/>
          <w:color w:val="000000"/>
          <w:spacing w:val="0"/>
          <w:sz w:val="32"/>
          <w:szCs w:val="32"/>
          <w:bdr w:val="none" w:color="auto" w:sz="0" w:space="0"/>
          <w:shd w:val="clear" w:fill="FFFFFF"/>
        </w:rPr>
        <w:t>65</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周岁以下，身心健康，能胜任人民调解工作。对有业务专长、特殊贡献的，年龄可适当放宽至</w:t>
      </w:r>
      <w:r>
        <w:rPr>
          <w:rFonts w:hint="eastAsia" w:ascii="宋体" w:hAnsi="宋体" w:eastAsia="宋体" w:cs="宋体"/>
          <w:i w:val="0"/>
          <w:caps w:val="0"/>
          <w:color w:val="000000"/>
          <w:spacing w:val="0"/>
          <w:sz w:val="32"/>
          <w:szCs w:val="32"/>
          <w:bdr w:val="none" w:color="auto" w:sz="0" w:space="0"/>
          <w:shd w:val="clear" w:fill="FFFFFF"/>
        </w:rPr>
        <w:t>70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（三）了解社情民意，具备一定文化水平和政策知识水平；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（四）热心人民调解工作，善于沟通协调，具有较强的组织协调能力和丰富的群众工作经验；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（五）未受过刑事处罚和行政处罚。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第八条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由各人民调解委员会根据本地本部门矛盾纠纷的特点聘用相对应的人选，注重从本地德高望重的群众和本部门退休人员中选取；注重从退休法官、检察官、民警、司法行政干警等懂法律、有专长、热心人民调解工作的人员中聘用；注重从离任村（社区）干部、致富带头人、农牧民党员、退役军人中选聘专职人民调解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第九条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  拟聘任的专职人民调解员，经县司法局审查核实后，由人民调解委员会聘任并颁发聘书。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第十条 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 各人民调解委员会对专职人民调解员进行建档造册，由基层司法所报县司法局备案。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第十一条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  专职人民调解员一年一聘，聘用期满后，根据双方意愿以及工作需要、考核结果可以续聘或解聘。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第十二条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  专职人民调解员上岗时，持证并佩戴徽章。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第十三条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（一）接受纠纷当事人的申请和乡镇人民调解委员会指派，调解各类矛盾纠纷；  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（二）参与矛盾纠纷定期排查、集中排查和专项排查活动，及时调处矛盾纠纷；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（三）及时报告重大矛盾纠纷情况，协助有关单位、部门做好防控调处工作，防止矛盾纠纷激化；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（四）通过排查调处宣传法律、法规、规章和政策，教育公民遵纪守法，弘扬社会公德、职业道德和家庭美德，预防矛盾纠纷发生；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（五）反映群众的意见和要求，汇报工作情况，提出工作建议，及时报送有关调解工作信息；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（六）认真做好纠纷登记、调解统计和文书档案管理工作；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（七）做好回访工作，催促人民调解协议的履行；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（八）完成司法行政部门和人民调解委员会交办的其他工作任务。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第十四条 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 专职人民调解员调解民间纠纷，应遵循以下原则：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（一）在当事人自愿、平等的基础上进行调解；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（二）不违背法律、法规和国家政策；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（三）尊重当事人权利，不得因调解而阻止当事人依法通过仲裁、行政、司法等途径维护自己的权利；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（四）应纠纷当事人的要求进行回避。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第十五条 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 人民调解员调解民间纠纷，应遵守以下纪律：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（一）坚持原则，主持公道，不徇私舞弊、偏袒一方当事人；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（二）不得对当事人压制、打击、报复；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（三）不得侮辱、处罚当事人；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（四）不得泄露当事人的个人隐私、商业秘密；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（五）不得索取、收受当事人财物或者牟取其他不正当利益；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（六）不得为律师和基层法律服务工作者介绍案件；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微软雅黑" w:hAnsi="微软雅黑" w:eastAsia="微软雅黑" w:cs="微软雅黑"/>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（七）不得有其他违反人民调解工作原则的行为。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第十六条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  实行统一的收案、结案。矛盾纠纷一般应在</w:t>
      </w:r>
      <w:r>
        <w:rPr>
          <w:rFonts w:hint="eastAsia" w:ascii="宋体" w:hAnsi="宋体" w:eastAsia="宋体" w:cs="宋体"/>
          <w:i w:val="0"/>
          <w:caps w:val="0"/>
          <w:color w:val="000000"/>
          <w:spacing w:val="0"/>
          <w:sz w:val="32"/>
          <w:szCs w:val="32"/>
          <w:bdr w:val="none" w:color="auto" w:sz="0" w:space="0"/>
          <w:shd w:val="clear" w:fill="FFFFFF"/>
        </w:rPr>
        <w:t>30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日内调处完毕，制作相关人民调解法律文书；如遇矛盾可能激化的纠纷应及时处理；如纠纷性质已转化，应立即移交有关单位和部门处理。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第十七条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  对调处结案的纠纷案件，实行回访制度，复杂案件实行专人包案，重点回访。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第十八条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  对专职人民调解员实行年度考核制度，考核主要内容由履职情况、学习培训、职业道德、执业纪律等组成。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第十九条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  考核结果作为专职人民调解员奖励、处分、续聘、解聘的主要依据。同时也是专职人民调解员参加人民调解员等级评定的重要条件。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第二十条 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 专职人民调解员日常办公地点由人民调解中心、行业性、专业性人民调解委员会、乡镇人民调解委员会、村（社区）人民调解委员会确定。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第二十一条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  专职人民调解员有以下情形之一的，由聘任单位予以辞退: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（一）因民间纠纷激化受到责任追究的；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（二）年度考核不合格的；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（三）</w:t>
      </w:r>
      <w:r>
        <w:rPr>
          <w:rFonts w:hint="eastAsia" w:ascii="方正仿宋简体" w:hAnsi="方正仿宋简体" w:eastAsia="方正仿宋简体" w:cs="方正仿宋简体"/>
          <w:i w:val="0"/>
          <w:caps w:val="0"/>
          <w:color w:val="000000"/>
          <w:spacing w:val="-11"/>
          <w:sz w:val="32"/>
          <w:szCs w:val="32"/>
          <w:bdr w:val="none" w:color="auto" w:sz="0" w:space="0"/>
          <w:shd w:val="clear" w:fill="FFFFFF"/>
        </w:rPr>
        <w:t>有违规违纪行为或者不遵守职业道德，造成不良影响的；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（四）不在调委会从事人民调解工作一个月或不服从组织安排调解工作的；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（五）其他原因不适宜继续从事人民调解工作的。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第二十二条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  根据《新疆维吾尔自治区人民调解条例》相关规定，</w:t>
      </w:r>
      <w:r>
        <w:rPr>
          <w:rFonts w:hint="eastAsia" w:ascii="方正仿宋简体" w:hAnsi="方正仿宋简体" w:eastAsia="方正仿宋简体" w:cs="方正仿宋简体"/>
          <w:i w:val="0"/>
          <w:caps w:val="0"/>
          <w:color w:val="000000"/>
          <w:spacing w:val="-11"/>
          <w:sz w:val="32"/>
          <w:szCs w:val="32"/>
          <w:bdr w:val="none" w:color="auto" w:sz="0" w:space="0"/>
          <w:shd w:val="clear" w:fill="FFFFFF"/>
        </w:rPr>
        <w:t>县人民政府对人民调解工作所需经费应当给予支持和保障。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（一）每月给予专职人民调解员误工补贴：实行每月调解案件量达到</w:t>
      </w:r>
      <w:r>
        <w:rPr>
          <w:rFonts w:hint="eastAsia" w:ascii="宋体" w:hAnsi="宋体" w:eastAsia="宋体" w:cs="宋体"/>
          <w:i w:val="0"/>
          <w:caps w:val="0"/>
          <w:color w:val="000000"/>
          <w:spacing w:val="0"/>
          <w:sz w:val="32"/>
          <w:szCs w:val="32"/>
          <w:bdr w:val="none" w:color="auto" w:sz="0" w:space="0"/>
          <w:shd w:val="clear" w:fill="FFFFFF"/>
        </w:rPr>
        <w:t>10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件以上（包含</w:t>
      </w:r>
      <w:r>
        <w:rPr>
          <w:rFonts w:hint="eastAsia" w:ascii="宋体" w:hAnsi="宋体" w:eastAsia="宋体" w:cs="宋体"/>
          <w:i w:val="0"/>
          <w:caps w:val="0"/>
          <w:color w:val="000000"/>
          <w:spacing w:val="0"/>
          <w:sz w:val="32"/>
          <w:szCs w:val="32"/>
          <w:bdr w:val="none" w:color="auto" w:sz="0" w:space="0"/>
          <w:shd w:val="clear" w:fill="FFFFFF"/>
        </w:rPr>
        <w:t>10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件）的予以</w:t>
      </w:r>
      <w:r>
        <w:rPr>
          <w:rFonts w:hint="eastAsia" w:ascii="宋体" w:hAnsi="宋体" w:eastAsia="宋体" w:cs="宋体"/>
          <w:i w:val="0"/>
          <w:caps w:val="0"/>
          <w:color w:val="000000"/>
          <w:spacing w:val="0"/>
          <w:sz w:val="32"/>
          <w:szCs w:val="32"/>
          <w:bdr w:val="none" w:color="auto" w:sz="0" w:space="0"/>
          <w:shd w:val="clear" w:fill="FFFFFF"/>
        </w:rPr>
        <w:t>800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元误工补贴；每月调解案件量达到</w:t>
      </w:r>
      <w:r>
        <w:rPr>
          <w:rFonts w:hint="eastAsia" w:ascii="宋体" w:hAnsi="宋体" w:eastAsia="宋体" w:cs="宋体"/>
          <w:i w:val="0"/>
          <w:caps w:val="0"/>
          <w:color w:val="000000"/>
          <w:spacing w:val="0"/>
          <w:sz w:val="32"/>
          <w:szCs w:val="32"/>
          <w:bdr w:val="none" w:color="auto" w:sz="0" w:space="0"/>
          <w:shd w:val="clear" w:fill="FFFFFF"/>
        </w:rPr>
        <w:t>5</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件以上（包含</w:t>
      </w:r>
      <w:r>
        <w:rPr>
          <w:rFonts w:hint="eastAsia" w:ascii="宋体" w:hAnsi="宋体" w:eastAsia="宋体" w:cs="宋体"/>
          <w:i w:val="0"/>
          <w:caps w:val="0"/>
          <w:color w:val="000000"/>
          <w:spacing w:val="0"/>
          <w:sz w:val="32"/>
          <w:szCs w:val="32"/>
          <w:bdr w:val="none" w:color="auto" w:sz="0" w:space="0"/>
          <w:shd w:val="clear" w:fill="FFFFFF"/>
        </w:rPr>
        <w:t>5</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件）的予以</w:t>
      </w:r>
      <w:r>
        <w:rPr>
          <w:rFonts w:hint="eastAsia" w:ascii="宋体" w:hAnsi="宋体" w:eastAsia="宋体" w:cs="宋体"/>
          <w:i w:val="0"/>
          <w:caps w:val="0"/>
          <w:color w:val="000000"/>
          <w:spacing w:val="0"/>
          <w:sz w:val="32"/>
          <w:szCs w:val="32"/>
          <w:bdr w:val="none" w:color="auto" w:sz="0" w:space="0"/>
          <w:shd w:val="clear" w:fill="FFFFFF"/>
        </w:rPr>
        <w:t>500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元误工补贴；每月调解案件量未达到</w:t>
      </w:r>
      <w:r>
        <w:rPr>
          <w:rFonts w:hint="eastAsia" w:ascii="宋体" w:hAnsi="宋体" w:eastAsia="宋体" w:cs="宋体"/>
          <w:i w:val="0"/>
          <w:caps w:val="0"/>
          <w:color w:val="000000"/>
          <w:spacing w:val="0"/>
          <w:sz w:val="32"/>
          <w:szCs w:val="32"/>
          <w:bdr w:val="none" w:color="auto" w:sz="0" w:space="0"/>
          <w:shd w:val="clear" w:fill="FFFFFF"/>
        </w:rPr>
        <w:t>5</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件不发放误工补贴。每月调解案件量是指调处成功且形成书面卷宗，卷宗制作规范、材料齐全（口头调解不计算在内）。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（二）根据调解案件的难易程度和工作量的大小，对调解成功的案件每件发放补贴</w:t>
      </w:r>
      <w:r>
        <w:rPr>
          <w:rFonts w:hint="eastAsia" w:ascii="宋体" w:hAnsi="宋体" w:eastAsia="宋体" w:cs="宋体"/>
          <w:i w:val="0"/>
          <w:caps w:val="0"/>
          <w:color w:val="000000"/>
          <w:spacing w:val="0"/>
          <w:sz w:val="32"/>
          <w:szCs w:val="32"/>
          <w:bdr w:val="none" w:color="auto" w:sz="0" w:space="0"/>
          <w:shd w:val="clear" w:fill="FFFFFF"/>
        </w:rPr>
        <w:t>20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元至</w:t>
      </w:r>
      <w:r>
        <w:rPr>
          <w:rFonts w:hint="eastAsia" w:ascii="宋体" w:hAnsi="宋体" w:eastAsia="宋体" w:cs="宋体"/>
          <w:i w:val="0"/>
          <w:caps w:val="0"/>
          <w:color w:val="000000"/>
          <w:spacing w:val="0"/>
          <w:sz w:val="32"/>
          <w:szCs w:val="32"/>
          <w:bdr w:val="none" w:color="auto" w:sz="0" w:space="0"/>
          <w:shd w:val="clear" w:fill="FFFFFF"/>
        </w:rPr>
        <w:t>500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元，其中，口头调解案件</w:t>
      </w:r>
      <w:r>
        <w:rPr>
          <w:rFonts w:hint="eastAsia" w:ascii="宋体" w:hAnsi="宋体" w:eastAsia="宋体" w:cs="宋体"/>
          <w:i w:val="0"/>
          <w:caps w:val="0"/>
          <w:color w:val="000000"/>
          <w:spacing w:val="0"/>
          <w:sz w:val="32"/>
          <w:szCs w:val="32"/>
          <w:bdr w:val="none" w:color="auto" w:sz="0" w:space="0"/>
          <w:shd w:val="clear" w:fill="FFFFFF"/>
        </w:rPr>
        <w:t>20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元/件、简易案件</w:t>
      </w:r>
      <w:r>
        <w:rPr>
          <w:rFonts w:hint="eastAsia" w:ascii="宋体" w:hAnsi="宋体" w:eastAsia="宋体" w:cs="宋体"/>
          <w:i w:val="0"/>
          <w:caps w:val="0"/>
          <w:color w:val="000000"/>
          <w:spacing w:val="0"/>
          <w:sz w:val="32"/>
          <w:szCs w:val="32"/>
          <w:bdr w:val="none" w:color="auto" w:sz="0" w:space="0"/>
          <w:shd w:val="clear" w:fill="FFFFFF"/>
        </w:rPr>
        <w:t>50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元/件、一般案件</w:t>
      </w:r>
      <w:r>
        <w:rPr>
          <w:rFonts w:hint="eastAsia" w:ascii="宋体" w:hAnsi="宋体" w:eastAsia="宋体" w:cs="宋体"/>
          <w:i w:val="0"/>
          <w:caps w:val="0"/>
          <w:color w:val="000000"/>
          <w:spacing w:val="0"/>
          <w:sz w:val="32"/>
          <w:szCs w:val="32"/>
          <w:bdr w:val="none" w:color="auto" w:sz="0" w:space="0"/>
          <w:shd w:val="clear" w:fill="FFFFFF"/>
        </w:rPr>
        <w:t>100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元/件、疑难案件</w:t>
      </w:r>
      <w:r>
        <w:rPr>
          <w:rFonts w:hint="eastAsia" w:ascii="宋体" w:hAnsi="宋体" w:eastAsia="宋体" w:cs="宋体"/>
          <w:i w:val="0"/>
          <w:caps w:val="0"/>
          <w:color w:val="000000"/>
          <w:spacing w:val="0"/>
          <w:sz w:val="32"/>
          <w:szCs w:val="32"/>
          <w:bdr w:val="none" w:color="auto" w:sz="0" w:space="0"/>
          <w:shd w:val="clear" w:fill="FFFFFF"/>
        </w:rPr>
        <w:t>500</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元/件。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（三）专职人民调解员在工作中做出突出贡献的，均按照国家规定给予表彰奖励。</w:t>
      </w:r>
      <w:r>
        <w:rPr>
          <w:rFonts w:hint="eastAsia" w:ascii="方正仿宋简体" w:hAnsi="方正仿宋简体" w:eastAsia="方正仿宋简体" w:cs="方正仿宋简体"/>
          <w:i w:val="0"/>
          <w:caps w:val="0"/>
          <w:color w:val="000000"/>
          <w:spacing w:val="-17"/>
          <w:sz w:val="32"/>
          <w:szCs w:val="32"/>
          <w:bdr w:val="none" w:color="auto" w:sz="0" w:space="0"/>
          <w:shd w:val="clear" w:fill="FFFFFF"/>
        </w:rPr>
        <w:t>相关经费由县司法局从人民调解经费中列支。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rPr>
      </w:pPr>
      <w:r>
        <w:rPr>
          <w:rFonts w:hint="eastAsia" w:ascii="方正仿宋简体" w:hAnsi="方正仿宋简体" w:eastAsia="方正仿宋简体" w:cs="方正仿宋简体"/>
          <w:b/>
          <w:i w:val="0"/>
          <w:caps w:val="0"/>
          <w:color w:val="000000"/>
          <w:spacing w:val="0"/>
          <w:sz w:val="32"/>
          <w:szCs w:val="32"/>
          <w:bdr w:val="none" w:color="auto" w:sz="0" w:space="0"/>
          <w:shd w:val="clear" w:fill="FFFFFF"/>
        </w:rPr>
        <w:t>第二十三条</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 </w:t>
      </w:r>
      <w:r>
        <w:rPr>
          <w:rFonts w:hint="eastAsia" w:ascii="方正仿宋简体" w:hAnsi="方正仿宋简体" w:eastAsia="方正仿宋简体" w:cs="方正仿宋简体"/>
          <w:i w:val="0"/>
          <w:caps w:val="0"/>
          <w:color w:val="000000"/>
          <w:spacing w:val="0"/>
          <w:sz w:val="32"/>
          <w:szCs w:val="32"/>
          <w:shd w:val="clear" w:fill="FFFFFF"/>
        </w:rPr>
        <w:t> </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本办法自</w:t>
      </w:r>
      <w:r>
        <w:rPr>
          <w:rFonts w:hint="eastAsia" w:ascii="宋体" w:hAnsi="宋体" w:eastAsia="宋体" w:cs="宋体"/>
          <w:i w:val="0"/>
          <w:caps w:val="0"/>
          <w:color w:val="000000"/>
          <w:spacing w:val="0"/>
          <w:sz w:val="32"/>
          <w:szCs w:val="32"/>
          <w:bdr w:val="none" w:color="auto" w:sz="0" w:space="0"/>
          <w:shd w:val="clear" w:fill="FFFFFF"/>
        </w:rPr>
        <w:t>2025</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年</w:t>
      </w:r>
      <w:r>
        <w:rPr>
          <w:rFonts w:hint="eastAsia" w:ascii="宋体" w:hAnsi="宋体" w:eastAsia="宋体" w:cs="宋体"/>
          <w:i w:val="0"/>
          <w:caps w:val="0"/>
          <w:color w:val="000000"/>
          <w:spacing w:val="0"/>
          <w:sz w:val="32"/>
          <w:szCs w:val="32"/>
          <w:bdr w:val="none" w:color="auto" w:sz="0" w:space="0"/>
          <w:shd w:val="clear" w:fill="FFFFFF"/>
        </w:rPr>
        <w:t>6</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月</w:t>
      </w:r>
      <w:r>
        <w:rPr>
          <w:rFonts w:hint="eastAsia" w:ascii="宋体" w:hAnsi="宋体" w:eastAsia="宋体" w:cs="宋体"/>
          <w:i w:val="0"/>
          <w:caps w:val="0"/>
          <w:color w:val="000000"/>
          <w:spacing w:val="0"/>
          <w:sz w:val="32"/>
          <w:szCs w:val="32"/>
          <w:bdr w:val="none" w:color="auto" w:sz="0" w:space="0"/>
          <w:shd w:val="clear" w:fill="FFFFFF"/>
        </w:rPr>
        <w:t>15</w:t>
      </w:r>
      <w:r>
        <w:rPr>
          <w:rFonts w:hint="eastAsia" w:ascii="方正仿宋简体" w:hAnsi="方正仿宋简体" w:eastAsia="方正仿宋简体" w:cs="方正仿宋简体"/>
          <w:i w:val="0"/>
          <w:caps w:val="0"/>
          <w:color w:val="000000"/>
          <w:spacing w:val="0"/>
          <w:sz w:val="32"/>
          <w:szCs w:val="32"/>
          <w:bdr w:val="none" w:color="auto" w:sz="0" w:space="0"/>
          <w:shd w:val="clear" w:fill="FFFFFF"/>
        </w:rPr>
        <w:t>日起施行。</w:t>
      </w:r>
    </w:p>
    <w:sectPr>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E55E7"/>
    <w:rsid w:val="03B43CD1"/>
    <w:rsid w:val="19AC2751"/>
    <w:rsid w:val="2DBE55E7"/>
    <w:rsid w:val="7744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2025-07-04T10:48:00Z</dcterms:created>
  <dc:creator>Administrator</dc:creator>
  <cp:lastModifiedBy>Administrator</cp:lastModifiedBy>
  <dcterms:modified xsi:type="dcterms:W3CDTF">2025-07-04T10:54:04Z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