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1254">
      <w:pPr>
        <w:spacing w:line="360" w:lineRule="auto"/>
        <w:ind w:left="0" w:leftChars="0" w:firstLine="0" w:firstLineChars="0"/>
        <w:jc w:val="both"/>
        <w:rPr>
          <w:rFonts w:ascii="宋体" w:hAnsi="宋体" w:eastAsia="宋体" w:cs="宋体"/>
          <w:spacing w:val="-12"/>
          <w:sz w:val="36"/>
          <w:szCs w:val="36"/>
        </w:rPr>
      </w:pPr>
      <w:bookmarkStart w:id="15" w:name="_GoBack"/>
      <w:bookmarkEnd w:id="15"/>
    </w:p>
    <w:p w14:paraId="116D35D8">
      <w:pPr>
        <w:ind w:firstLine="0" w:firstLineChars="0"/>
        <w:jc w:val="center"/>
        <w:rPr>
          <w:rFonts w:ascii="宋体" w:hAnsi="宋体" w:eastAsia="宋体" w:cs="宋体"/>
          <w:color w:val="auto"/>
          <w:spacing w:val="1"/>
          <w:szCs w:val="28"/>
        </w:rPr>
      </w:pPr>
      <w:r>
        <w:rPr>
          <w:rFonts w:hint="eastAsia" w:ascii="宋体" w:hAnsi="宋体" w:eastAsia="宋体"/>
          <w:b/>
          <w:sz w:val="30"/>
          <w:szCs w:val="30"/>
        </w:rPr>
        <w:t>《</w:t>
      </w:r>
      <w:r>
        <w:rPr>
          <w:rFonts w:hint="eastAsia" w:ascii="宋体" w:hAnsi="宋体" w:eastAsia="宋体"/>
          <w:b/>
          <w:sz w:val="30"/>
          <w:szCs w:val="30"/>
          <w:lang w:eastAsia="zh-CN"/>
        </w:rPr>
        <w:t>察布查尔锡伯自治县诚合建材厂砂石矿</w:t>
      </w:r>
      <w:r>
        <w:rPr>
          <w:rFonts w:hint="eastAsia" w:ascii="宋体" w:hAnsi="宋体" w:eastAsia="宋体"/>
          <w:b/>
          <w:sz w:val="30"/>
          <w:szCs w:val="30"/>
        </w:rPr>
        <w:t>矿产资源开发利用与生态保护修复方案》专家审查意见</w:t>
      </w:r>
    </w:p>
    <w:p w14:paraId="732BA962">
      <w:pPr>
        <w:ind w:firstLine="560"/>
        <w:rPr>
          <w:rFonts w:hint="eastAsia" w:ascii="宋体" w:hAnsi="宋体" w:eastAsia="宋体" w:cs="宋体"/>
          <w:color w:val="auto"/>
        </w:rPr>
      </w:pPr>
      <w:bookmarkStart w:id="0" w:name="_Hlk100067958"/>
    </w:p>
    <w:p w14:paraId="79CFCE53">
      <w:pPr>
        <w:ind w:firstLine="560"/>
        <w:rPr>
          <w:color w:val="auto"/>
        </w:rPr>
      </w:pPr>
      <w:r>
        <w:rPr>
          <w:rFonts w:hint="eastAsia" w:ascii="宋体" w:hAnsi="宋体" w:eastAsia="宋体" w:cs="宋体"/>
          <w:color w:val="auto"/>
        </w:rPr>
        <w:t>《</w:t>
      </w:r>
      <w:r>
        <w:rPr>
          <w:rFonts w:hint="eastAsia" w:ascii="宋体" w:hAnsi="宋体" w:eastAsia="宋体" w:cs="宋体"/>
          <w:color w:val="auto"/>
          <w:lang w:eastAsia="zh-CN"/>
        </w:rPr>
        <w:t>察布查尔锡伯自治县诚合建材厂砂石矿</w:t>
      </w:r>
      <w:r>
        <w:rPr>
          <w:rFonts w:hint="eastAsia" w:ascii="宋体" w:hAnsi="宋体" w:eastAsia="宋体" w:cs="宋体"/>
          <w:color w:val="auto"/>
        </w:rPr>
        <w:t>矿产资源开发利用与生态保护修复方案》</w:t>
      </w:r>
      <w:bookmarkEnd w:id="0"/>
      <w:r>
        <w:rPr>
          <w:rFonts w:hint="eastAsia" w:ascii="宋体" w:hAnsi="宋体" w:eastAsia="宋体" w:cs="宋体"/>
          <w:color w:val="auto"/>
        </w:rPr>
        <w:t>（以下简称</w:t>
      </w:r>
      <w:bookmarkStart w:id="1" w:name="_Hlk91835451"/>
      <w:r>
        <w:rPr>
          <w:rFonts w:hint="eastAsia" w:ascii="宋体" w:hAnsi="宋体" w:eastAsia="宋体" w:cs="宋体"/>
          <w:color w:val="auto"/>
        </w:rPr>
        <w:t>《方案》</w:t>
      </w:r>
      <w:bookmarkEnd w:id="1"/>
      <w:r>
        <w:rPr>
          <w:rFonts w:hint="eastAsia" w:ascii="宋体" w:hAnsi="宋体" w:eastAsia="宋体" w:cs="宋体"/>
          <w:color w:val="auto"/>
        </w:rPr>
        <w:t>）由</w:t>
      </w:r>
      <w:r>
        <w:rPr>
          <w:rFonts w:hint="eastAsia" w:ascii="宋体" w:hAnsi="宋体" w:eastAsia="宋体" w:cs="宋体"/>
          <w:color w:val="auto"/>
          <w:lang w:eastAsia="zh-CN"/>
        </w:rPr>
        <w:t>新疆维源矿业信息咨询有限公司</w:t>
      </w:r>
      <w:r>
        <w:rPr>
          <w:rFonts w:hint="eastAsia" w:ascii="宋体" w:hAnsi="宋体" w:eastAsia="宋体" w:cs="宋体"/>
          <w:color w:val="auto"/>
        </w:rPr>
        <w:t>编制完成。</w:t>
      </w:r>
      <w:r>
        <w:rPr>
          <w:rFonts w:hint="eastAsia" w:ascii="宋体" w:hAnsi="宋体" w:eastAsia="宋体" w:cs="宋体"/>
          <w:lang w:val="en-US" w:eastAsia="zh-CN"/>
        </w:rPr>
        <w:t>察布查尔锡伯自治县自然资源局</w:t>
      </w:r>
      <w:r>
        <w:rPr>
          <w:rFonts w:hint="eastAsia" w:ascii="宋体" w:hAnsi="宋体" w:eastAsia="宋体" w:cs="宋体"/>
        </w:rPr>
        <w:t>组织有关专家对该《方案》进行</w:t>
      </w:r>
      <w:r>
        <w:rPr>
          <w:rFonts w:hint="eastAsia" w:ascii="宋体" w:hAnsi="宋体" w:eastAsia="宋体" w:cs="宋体"/>
          <w:color w:val="auto"/>
          <w:spacing w:val="1"/>
          <w:szCs w:val="28"/>
          <w:highlight w:val="none"/>
          <w:lang w:val="en-US" w:eastAsia="zh-CN"/>
        </w:rPr>
        <w:t>线上</w:t>
      </w:r>
      <w:r>
        <w:rPr>
          <w:rFonts w:hint="eastAsia" w:ascii="宋体" w:hAnsi="宋体" w:eastAsia="宋体" w:cs="宋体"/>
        </w:rPr>
        <w:t>会审</w:t>
      </w:r>
      <w:r>
        <w:rPr>
          <w:rFonts w:hint="eastAsia" w:ascii="宋体" w:hAnsi="宋体" w:eastAsia="宋体" w:cs="宋体"/>
          <w:color w:val="auto"/>
        </w:rPr>
        <w:t>。</w:t>
      </w:r>
      <w:r>
        <w:rPr>
          <w:rFonts w:hint="eastAsia" w:ascii="宋体" w:hAnsi="宋体" w:eastAsia="宋体" w:cs="宋体"/>
          <w:color w:val="auto"/>
          <w:spacing w:val="1"/>
          <w:szCs w:val="28"/>
        </w:rPr>
        <w:t>202</w:t>
      </w:r>
      <w:r>
        <w:rPr>
          <w:rFonts w:hint="eastAsia" w:ascii="宋体" w:hAnsi="宋体" w:eastAsia="宋体" w:cs="宋体"/>
          <w:color w:val="auto"/>
          <w:spacing w:val="1"/>
          <w:szCs w:val="28"/>
          <w:lang w:val="en-US" w:eastAsia="zh-CN"/>
        </w:rPr>
        <w:t>5</w:t>
      </w:r>
      <w:r>
        <w:rPr>
          <w:rFonts w:hint="eastAsia" w:ascii="宋体" w:hAnsi="宋体" w:eastAsia="宋体" w:cs="宋体"/>
          <w:color w:val="auto"/>
          <w:spacing w:val="1"/>
          <w:szCs w:val="28"/>
        </w:rPr>
        <w:t>年</w:t>
      </w:r>
      <w:r>
        <w:rPr>
          <w:rFonts w:hint="eastAsia" w:ascii="宋体" w:hAnsi="宋体" w:eastAsia="宋体" w:cs="宋体"/>
          <w:color w:val="auto"/>
          <w:spacing w:val="1"/>
          <w:szCs w:val="28"/>
          <w:lang w:val="en-US" w:eastAsia="zh-CN"/>
        </w:rPr>
        <w:t>9</w:t>
      </w:r>
      <w:r>
        <w:rPr>
          <w:rFonts w:hint="eastAsia" w:ascii="宋体" w:hAnsi="宋体" w:eastAsia="宋体" w:cs="宋体"/>
          <w:color w:val="auto"/>
          <w:spacing w:val="1"/>
          <w:szCs w:val="28"/>
        </w:rPr>
        <w:t>月</w:t>
      </w:r>
      <w:r>
        <w:rPr>
          <w:rFonts w:hint="eastAsia" w:ascii="宋体" w:hAnsi="宋体" w:eastAsia="宋体" w:cs="宋体"/>
          <w:color w:val="auto"/>
          <w:spacing w:val="1"/>
          <w:szCs w:val="28"/>
          <w:lang w:val="en-US" w:eastAsia="zh-CN"/>
        </w:rPr>
        <w:t>3</w:t>
      </w:r>
      <w:r>
        <w:rPr>
          <w:rFonts w:hint="eastAsia" w:ascii="宋体" w:hAnsi="宋体" w:eastAsia="宋体" w:cs="宋体"/>
          <w:color w:val="auto"/>
          <w:spacing w:val="1"/>
          <w:szCs w:val="28"/>
        </w:rPr>
        <w:t>日，</w:t>
      </w:r>
      <w:r>
        <w:rPr>
          <w:rFonts w:hint="eastAsia" w:ascii="宋体" w:hAnsi="宋体" w:eastAsia="宋体" w:cs="宋体"/>
          <w:color w:val="auto"/>
          <w:spacing w:val="1"/>
          <w:szCs w:val="28"/>
          <w:lang w:eastAsia="zh-CN"/>
        </w:rPr>
        <w:t>察布查尔锡伯自治县自然资源局</w:t>
      </w:r>
      <w:r>
        <w:rPr>
          <w:rFonts w:hint="eastAsia" w:ascii="宋体" w:hAnsi="宋体" w:eastAsia="宋体" w:cs="宋体"/>
          <w:color w:val="auto"/>
          <w:spacing w:val="1"/>
          <w:szCs w:val="28"/>
        </w:rPr>
        <w:t>聘请了地质、采矿、选矿、经济、地环、土地复</w:t>
      </w:r>
      <w:r>
        <w:rPr>
          <w:rFonts w:hint="eastAsia" w:ascii="宋体" w:hAnsi="宋体" w:eastAsia="宋体" w:cs="宋体"/>
          <w:spacing w:val="1"/>
          <w:szCs w:val="28"/>
        </w:rPr>
        <w:t>垦等专业的专家组成专家组</w:t>
      </w:r>
      <w:r>
        <w:rPr>
          <w:rFonts w:hint="eastAsia" w:ascii="宋体" w:hAnsi="宋体" w:eastAsia="宋体" w:cs="宋体"/>
          <w:color w:val="auto"/>
          <w:spacing w:val="1"/>
          <w:szCs w:val="28"/>
        </w:rPr>
        <w:t>（名单附后）在</w:t>
      </w:r>
      <w:r>
        <w:rPr>
          <w:rFonts w:hint="eastAsia" w:ascii="宋体" w:hAnsi="宋体" w:eastAsia="宋体" w:cs="宋体"/>
          <w:color w:val="auto"/>
          <w:spacing w:val="1"/>
          <w:szCs w:val="28"/>
          <w:lang w:val="en-US" w:eastAsia="zh-CN"/>
        </w:rPr>
        <w:t>腾讯会议</w:t>
      </w:r>
      <w:r>
        <w:rPr>
          <w:rFonts w:hint="eastAsia" w:ascii="宋体" w:hAnsi="宋体" w:eastAsia="宋体" w:cs="宋体"/>
          <w:color w:val="auto"/>
          <w:spacing w:val="1"/>
          <w:szCs w:val="28"/>
        </w:rPr>
        <w:t>进行了</w:t>
      </w:r>
      <w:r>
        <w:rPr>
          <w:rFonts w:hint="eastAsia" w:ascii="宋体" w:hAnsi="宋体" w:eastAsia="宋体" w:cs="宋体"/>
          <w:color w:val="auto"/>
          <w:spacing w:val="1"/>
          <w:szCs w:val="28"/>
          <w:lang w:val="en-US" w:eastAsia="zh-CN"/>
        </w:rPr>
        <w:t>线上</w:t>
      </w:r>
      <w:r>
        <w:rPr>
          <w:rFonts w:hint="eastAsia" w:ascii="宋体" w:hAnsi="宋体" w:eastAsia="宋体" w:cs="宋体"/>
          <w:color w:val="auto"/>
          <w:spacing w:val="1"/>
          <w:szCs w:val="28"/>
        </w:rPr>
        <w:t>会审。该《</w:t>
      </w:r>
      <w:r>
        <w:rPr>
          <w:rFonts w:hint="eastAsia" w:ascii="宋体" w:hAnsi="宋体" w:eastAsia="宋体" w:cs="宋体"/>
          <w:spacing w:val="1"/>
          <w:szCs w:val="28"/>
        </w:rPr>
        <w:t>方案》经专家组充分讨论和评议，提出了修改意见。会后，编制单位对《方案》进行修改完善，经专家组复核，《方案》符合规范要求，现形成评审意见如下：</w:t>
      </w:r>
    </w:p>
    <w:p w14:paraId="18E7767D">
      <w:pPr>
        <w:ind w:firstLine="538"/>
        <w:jc w:val="left"/>
        <w:outlineLvl w:val="0"/>
        <w:rPr>
          <w:rFonts w:ascii="宋体" w:hAnsi="宋体" w:eastAsia="宋体" w:cs="宋体"/>
          <w:b/>
          <w:bCs/>
          <w:color w:val="auto"/>
          <w:spacing w:val="-3"/>
          <w:szCs w:val="28"/>
        </w:rPr>
      </w:pPr>
      <w:r>
        <w:rPr>
          <w:rFonts w:hint="eastAsia" w:ascii="宋体" w:hAnsi="宋体" w:eastAsia="宋体" w:cs="宋体"/>
          <w:b/>
          <w:bCs/>
          <w:color w:val="auto"/>
          <w:spacing w:val="-6"/>
          <w:szCs w:val="28"/>
        </w:rPr>
        <w:t>一、采矿权基本情况及编制目的</w:t>
      </w:r>
    </w:p>
    <w:p w14:paraId="2723DE4E">
      <w:pPr>
        <w:ind w:firstLine="560"/>
        <w:rPr>
          <w:rFonts w:hint="eastAsia" w:ascii="宋体" w:hAnsi="宋体" w:eastAsia="宋体" w:cs="宋体"/>
          <w:szCs w:val="28"/>
          <w:lang w:eastAsia="zh-CN"/>
        </w:rPr>
      </w:pPr>
      <w:r>
        <w:rPr>
          <w:rFonts w:hint="eastAsia" w:ascii="宋体" w:hAnsi="宋体" w:eastAsia="宋体" w:cs="宋体"/>
          <w:szCs w:val="28"/>
          <w:lang w:eastAsia="zh-CN"/>
        </w:rPr>
        <w:t>察布查尔锡伯自治县诚合建材厂砂石矿属于</w:t>
      </w:r>
      <w:r>
        <w:rPr>
          <w:rFonts w:hint="eastAsia" w:ascii="宋体" w:hAnsi="宋体" w:eastAsia="宋体" w:cs="宋体"/>
          <w:szCs w:val="28"/>
          <w:lang w:val="en-US" w:eastAsia="zh-CN"/>
        </w:rPr>
        <w:t>延续变更</w:t>
      </w:r>
      <w:r>
        <w:rPr>
          <w:rFonts w:hint="eastAsia" w:ascii="宋体" w:hAnsi="宋体" w:eastAsia="宋体" w:cs="宋体"/>
          <w:szCs w:val="28"/>
          <w:lang w:eastAsia="zh-CN"/>
        </w:rPr>
        <w:t>矿山，</w:t>
      </w:r>
      <w:r>
        <w:rPr>
          <w:rFonts w:hint="eastAsia" w:ascii="宋体" w:hAnsi="宋体" w:eastAsia="宋体" w:cs="宋体"/>
          <w:szCs w:val="28"/>
          <w:lang w:val="en-US" w:eastAsia="zh-CN"/>
        </w:rPr>
        <w:t>拟设</w:t>
      </w:r>
      <w:r>
        <w:rPr>
          <w:rFonts w:hint="eastAsia" w:ascii="宋体" w:hAnsi="宋体" w:eastAsia="宋体" w:cs="宋体"/>
          <w:szCs w:val="28"/>
          <w:lang w:eastAsia="zh-CN"/>
        </w:rPr>
        <w:t>矿区由</w:t>
      </w:r>
      <w:r>
        <w:rPr>
          <w:rFonts w:hint="eastAsia" w:ascii="宋体" w:hAnsi="宋体" w:eastAsia="宋体" w:cs="宋体"/>
          <w:szCs w:val="28"/>
          <w:lang w:val="en-US" w:eastAsia="zh-CN"/>
        </w:rPr>
        <w:t>4</w:t>
      </w:r>
      <w:r>
        <w:rPr>
          <w:rFonts w:hint="eastAsia" w:ascii="宋体" w:hAnsi="宋体" w:eastAsia="宋体" w:cs="宋体"/>
          <w:szCs w:val="28"/>
          <w:lang w:eastAsia="zh-CN"/>
        </w:rPr>
        <w:t>个坐标拐点组成，面积0.20平方千米。开采矿种为建筑用砂矿，露天开采方式，开采标高：</w:t>
      </w:r>
      <w:r>
        <w:rPr>
          <w:rFonts w:hint="eastAsia" w:ascii="宋体" w:hAnsi="宋体" w:eastAsia="宋体"/>
          <w:szCs w:val="28"/>
          <w:lang w:val="en-US" w:eastAsia="zh-CN"/>
        </w:rPr>
        <w:t>+894米至+867米</w:t>
      </w:r>
      <w:r>
        <w:rPr>
          <w:rFonts w:hint="eastAsia" w:ascii="宋体" w:hAnsi="宋体" w:eastAsia="宋体" w:cs="宋体"/>
          <w:szCs w:val="28"/>
          <w:lang w:eastAsia="zh-CN"/>
        </w:rPr>
        <w:t>，生产规模为</w:t>
      </w:r>
      <w:r>
        <w:rPr>
          <w:rFonts w:hint="eastAsia" w:ascii="宋体" w:hAnsi="宋体" w:eastAsia="宋体" w:cs="宋体"/>
          <w:szCs w:val="28"/>
          <w:lang w:val="en-US" w:eastAsia="zh-CN"/>
        </w:rPr>
        <w:t>30</w:t>
      </w:r>
      <w:r>
        <w:rPr>
          <w:rFonts w:hint="eastAsia" w:ascii="宋体" w:hAnsi="宋体" w:eastAsia="宋体" w:cs="宋体"/>
          <w:szCs w:val="28"/>
          <w:lang w:eastAsia="zh-CN"/>
        </w:rPr>
        <w:t>万</w:t>
      </w:r>
      <w:r>
        <w:rPr>
          <w:rFonts w:hint="eastAsia" w:ascii="宋体" w:hAnsi="宋体" w:eastAsia="宋体" w:cs="宋体"/>
          <w:szCs w:val="28"/>
          <w:lang w:val="en-US" w:eastAsia="zh-CN"/>
        </w:rPr>
        <w:t>立方米</w:t>
      </w:r>
      <w:r>
        <w:rPr>
          <w:rFonts w:hint="eastAsia" w:ascii="宋体" w:hAnsi="宋体" w:eastAsia="宋体" w:cs="宋体"/>
          <w:szCs w:val="28"/>
          <w:lang w:eastAsia="zh-CN"/>
        </w:rPr>
        <w:t>/年。</w:t>
      </w:r>
    </w:p>
    <w:p w14:paraId="1E800DF6">
      <w:pPr>
        <w:ind w:firstLine="560"/>
        <w:rPr>
          <w:rFonts w:ascii="宋体" w:hAnsi="宋体" w:eastAsia="宋体" w:cs="宋体"/>
          <w:szCs w:val="28"/>
        </w:rPr>
      </w:pPr>
      <w:r>
        <w:rPr>
          <w:rFonts w:hint="eastAsia" w:ascii="宋体" w:hAnsi="宋体" w:eastAsia="宋体" w:cs="宋体"/>
          <w:color w:val="auto"/>
          <w:szCs w:val="28"/>
        </w:rPr>
        <w:t>本次设计编制</w:t>
      </w:r>
      <w:bookmarkStart w:id="2" w:name="_Hlk91836438"/>
      <w:r>
        <w:rPr>
          <w:rFonts w:hint="eastAsia" w:ascii="宋体" w:hAnsi="宋体" w:eastAsia="宋体" w:cs="宋体"/>
          <w:color w:val="auto"/>
          <w:szCs w:val="28"/>
        </w:rPr>
        <w:t>《方案》</w:t>
      </w:r>
      <w:bookmarkEnd w:id="2"/>
      <w:r>
        <w:rPr>
          <w:rFonts w:hint="eastAsia" w:ascii="宋体" w:hAnsi="宋体" w:eastAsia="宋体" w:cs="宋体"/>
          <w:color w:val="auto"/>
          <w:szCs w:val="28"/>
        </w:rPr>
        <w:t>目的：</w:t>
      </w:r>
      <w:r>
        <w:rPr>
          <w:rFonts w:hint="eastAsia" w:ascii="宋体" w:hAnsi="宋体" w:eastAsia="宋体" w:cs="宋体"/>
          <w:szCs w:val="28"/>
        </w:rPr>
        <w:t>为</w:t>
      </w:r>
      <w:r>
        <w:rPr>
          <w:rFonts w:hint="eastAsia" w:ascii="宋体" w:hAnsi="宋体" w:eastAsia="宋体" w:cs="宋体"/>
          <w:szCs w:val="28"/>
          <w:lang w:val="en-US" w:eastAsia="zh-CN"/>
        </w:rPr>
        <w:t>办理采矿许可证</w:t>
      </w:r>
      <w:r>
        <w:rPr>
          <w:rFonts w:hint="eastAsia" w:ascii="宋体" w:hAnsi="宋体" w:eastAsia="宋体" w:cs="宋体"/>
          <w:szCs w:val="28"/>
        </w:rPr>
        <w:t>；为本矿山的采矿权出让收益评估、矿产资源开发利用、环境评价提供依据；为自然资源管理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生态保护修复基金的计提等提供依据，为自然资源管理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p>
    <w:p w14:paraId="2B0B7A4E">
      <w:pPr>
        <w:ind w:firstLine="538"/>
        <w:jc w:val="left"/>
        <w:outlineLvl w:val="0"/>
        <w:rPr>
          <w:rFonts w:ascii="宋体" w:hAnsi="宋体" w:eastAsia="宋体" w:cs="宋体"/>
          <w:b/>
          <w:bCs/>
          <w:color w:val="auto"/>
          <w:spacing w:val="-6"/>
          <w:szCs w:val="28"/>
        </w:rPr>
      </w:pPr>
      <w:r>
        <w:rPr>
          <w:rFonts w:hint="eastAsia" w:ascii="宋体" w:hAnsi="宋体" w:eastAsia="宋体" w:cs="宋体"/>
          <w:b/>
          <w:bCs/>
          <w:color w:val="auto"/>
          <w:spacing w:val="-6"/>
          <w:szCs w:val="28"/>
        </w:rPr>
        <w:t>二、资源储量转换及其评述</w:t>
      </w:r>
    </w:p>
    <w:p w14:paraId="48B3A68F">
      <w:pPr>
        <w:pStyle w:val="17"/>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560"/>
        <w:textAlignment w:val="baseline"/>
        <w:rPr>
          <w:rFonts w:ascii="宋体" w:hAnsi="宋体" w:eastAsia="宋体" w:cs="宋体"/>
          <w:color w:val="auto"/>
          <w:sz w:val="28"/>
          <w:szCs w:val="28"/>
        </w:rPr>
      </w:pPr>
      <w:r>
        <w:rPr>
          <w:rFonts w:hint="eastAsia" w:ascii="宋体" w:hAnsi="宋体" w:eastAsia="宋体" w:cs="宋体"/>
          <w:color w:val="auto"/>
          <w:sz w:val="28"/>
          <w:szCs w:val="28"/>
        </w:rPr>
        <w:t>（一）设计利用资源量</w:t>
      </w:r>
    </w:p>
    <w:p w14:paraId="312ADA6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eastAsia="zh-CN"/>
        </w:rPr>
      </w:pPr>
      <w:r>
        <w:rPr>
          <w:rFonts w:hint="eastAsia" w:ascii="宋体" w:hAnsi="宋体" w:eastAsia="宋体" w:cs="宋体"/>
          <w:color w:val="auto"/>
          <w:szCs w:val="28"/>
          <w:lang w:eastAsia="zh-CN"/>
        </w:rPr>
        <w:t>本次设计利用对象根据新疆国维勘查测绘院有限公司于2024年12月编制的提交并通过了《新疆察布查尔锡伯自治县诚合建材厂砂石矿2024年储量年度报告》，年报告估算的批准资源量：截止2024年12月31日，在资源量估算范围内的保有推断资源量（矿石量）77.22万立方米。</w:t>
      </w:r>
    </w:p>
    <w:p w14:paraId="064936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lang w:eastAsia="zh-CN"/>
        </w:rPr>
        <w:t>本次设计利用的资源量为矿山露天开采境界内资源量75.68万立方米，设计利用率98%</w:t>
      </w:r>
      <w:r>
        <w:rPr>
          <w:rFonts w:hint="eastAsia" w:ascii="宋体" w:hAnsi="宋体" w:eastAsia="宋体" w:cs="宋体"/>
          <w:color w:val="auto"/>
          <w:szCs w:val="28"/>
        </w:rPr>
        <w:t>。</w:t>
      </w:r>
    </w:p>
    <w:p w14:paraId="0AAADC7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（二）可采资源储量</w:t>
      </w:r>
    </w:p>
    <w:p w14:paraId="65E86059">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根据矿体赋存条件、矿石质量及设计利用资源量，回采率参照、类比同类矿山定为95%。根据确定的回采率，本矿山可采资源量计算如下：</w:t>
      </w:r>
    </w:p>
    <w:p w14:paraId="47F393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rPr>
        <w:t>可采资源量=设计利用资源量×回采率=</w:t>
      </w:r>
      <w:r>
        <w:rPr>
          <w:rFonts w:hint="eastAsia" w:ascii="宋体" w:hAnsi="宋体" w:eastAsia="宋体" w:cs="宋体"/>
          <w:color w:val="auto"/>
          <w:szCs w:val="28"/>
          <w:lang w:val="en-US" w:eastAsia="zh-CN"/>
        </w:rPr>
        <w:t>75.68</w:t>
      </w:r>
      <w:r>
        <w:rPr>
          <w:rFonts w:hint="eastAsia" w:ascii="宋体" w:hAnsi="宋体" w:eastAsia="宋体" w:cs="宋体"/>
          <w:color w:val="auto"/>
          <w:szCs w:val="28"/>
        </w:rPr>
        <w:t>×9</w:t>
      </w:r>
      <w:r>
        <w:rPr>
          <w:rFonts w:hint="eastAsia" w:ascii="宋体" w:hAnsi="宋体" w:eastAsia="宋体" w:cs="宋体"/>
          <w:color w:val="auto"/>
          <w:szCs w:val="28"/>
          <w:lang w:val="en-US" w:eastAsia="zh-CN"/>
        </w:rPr>
        <w:t>5</w:t>
      </w:r>
      <w:r>
        <w:rPr>
          <w:rFonts w:hint="eastAsia" w:ascii="宋体" w:hAnsi="宋体" w:eastAsia="宋体" w:cs="宋体"/>
          <w:color w:val="auto"/>
          <w:szCs w:val="28"/>
        </w:rPr>
        <w:t>%=</w:t>
      </w:r>
      <w:r>
        <w:rPr>
          <w:rFonts w:hint="eastAsia" w:ascii="宋体" w:hAnsi="宋体" w:eastAsia="宋体" w:cs="宋体"/>
          <w:color w:val="auto"/>
          <w:szCs w:val="28"/>
          <w:lang w:val="en-US" w:eastAsia="zh-CN"/>
        </w:rPr>
        <w:t>71.90</w:t>
      </w:r>
      <w:r>
        <w:rPr>
          <w:rFonts w:hint="eastAsia" w:ascii="宋体" w:hAnsi="宋体" w:eastAsia="宋体" w:cs="宋体"/>
          <w:color w:val="auto"/>
          <w:szCs w:val="28"/>
        </w:rPr>
        <w:t>万立方米</w:t>
      </w:r>
      <w:r>
        <w:rPr>
          <w:rFonts w:hint="eastAsia" w:ascii="宋体" w:hAnsi="宋体" w:eastAsia="宋体" w:cs="宋体"/>
          <w:color w:val="auto"/>
          <w:szCs w:val="28"/>
          <w:lang w:val="en-US" w:eastAsia="zh-CN"/>
        </w:rPr>
        <w:t>。</w:t>
      </w:r>
    </w:p>
    <w:p w14:paraId="2ABB0823">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（三）资源储量确定符合性</w:t>
      </w:r>
    </w:p>
    <w:p w14:paraId="5ECDD5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《方案》资源储量类型确定合理，设计利用资源量、可采资源储量的确定符合自治区自然资源厅相关政策要求。</w:t>
      </w:r>
    </w:p>
    <w:p w14:paraId="0598BE06">
      <w:pPr>
        <w:ind w:firstLine="538"/>
        <w:jc w:val="left"/>
        <w:outlineLvl w:val="0"/>
        <w:rPr>
          <w:rFonts w:hint="eastAsia" w:ascii="宋体" w:hAnsi="宋体" w:eastAsia="宋体" w:cs="宋体"/>
          <w:b/>
          <w:bCs/>
          <w:color w:val="auto"/>
          <w:spacing w:val="-6"/>
          <w:szCs w:val="28"/>
        </w:rPr>
      </w:pPr>
      <w:r>
        <w:rPr>
          <w:rFonts w:hint="eastAsia" w:ascii="宋体" w:hAnsi="宋体" w:eastAsia="宋体" w:cs="宋体"/>
          <w:b/>
          <w:bCs/>
          <w:color w:val="auto"/>
          <w:spacing w:val="-6"/>
          <w:szCs w:val="28"/>
        </w:rPr>
        <w:t>三、设计开采规模及服务年限</w:t>
      </w:r>
    </w:p>
    <w:p w14:paraId="37D79575">
      <w:pPr>
        <w:ind w:firstLine="560"/>
        <w:rPr>
          <w:rFonts w:ascii="宋体" w:hAnsi="宋体" w:eastAsia="宋体" w:cs="宋体"/>
          <w:color w:val="000000" w:themeColor="text1"/>
          <w:spacing w:val="-4"/>
          <w:szCs w:val="28"/>
          <w14:textFill>
            <w14:solidFill>
              <w14:schemeClr w14:val="tx1"/>
            </w14:solidFill>
          </w14:textFill>
        </w:rPr>
      </w:pPr>
      <w:r>
        <w:rPr>
          <w:rFonts w:hint="eastAsia" w:ascii="宋体" w:hAnsi="宋体" w:eastAsia="宋体" w:cs="宋体"/>
          <w:color w:val="auto"/>
          <w:szCs w:val="28"/>
        </w:rPr>
        <w:t>本次设计根据市场需求、矿床</w:t>
      </w:r>
      <w:r>
        <w:rPr>
          <w:rFonts w:hint="eastAsia" w:ascii="宋体" w:hAnsi="宋体" w:eastAsia="宋体" w:cs="宋体"/>
          <w:spacing w:val="-4"/>
          <w:szCs w:val="28"/>
        </w:rPr>
        <w:t>规模、开采技术条件及《新疆维吾尔自治区</w:t>
      </w:r>
      <w:r>
        <w:rPr>
          <w:rFonts w:ascii="宋体" w:hAnsi="宋体" w:eastAsia="宋体" w:cs="宋体"/>
          <w:spacing w:val="-4"/>
          <w:szCs w:val="28"/>
        </w:rPr>
        <w:t>28</w:t>
      </w:r>
      <w:r>
        <w:rPr>
          <w:rFonts w:hint="eastAsia" w:ascii="宋体" w:hAnsi="宋体" w:eastAsia="宋体" w:cs="宋体"/>
          <w:spacing w:val="-4"/>
          <w:szCs w:val="28"/>
        </w:rPr>
        <w:t>个国家重点生态功能区县（市）产业准入负面清单（试行）的通知》（新发改规划〔</w:t>
      </w:r>
      <w:r>
        <w:rPr>
          <w:rFonts w:ascii="宋体" w:hAnsi="宋体" w:eastAsia="宋体" w:cs="宋体"/>
          <w:spacing w:val="-4"/>
          <w:szCs w:val="28"/>
        </w:rPr>
        <w:t>2017</w:t>
      </w:r>
      <w:r>
        <w:rPr>
          <w:rFonts w:hint="eastAsia" w:ascii="宋体" w:hAnsi="宋体" w:eastAsia="宋体" w:cs="宋体"/>
          <w:spacing w:val="-4"/>
          <w:szCs w:val="28"/>
        </w:rPr>
        <w:t>〕</w:t>
      </w:r>
      <w:r>
        <w:rPr>
          <w:rFonts w:ascii="宋体" w:hAnsi="宋体" w:eastAsia="宋体" w:cs="宋体"/>
          <w:spacing w:val="-4"/>
          <w:szCs w:val="28"/>
        </w:rPr>
        <w:t>891</w:t>
      </w:r>
      <w:r>
        <w:rPr>
          <w:rFonts w:hint="eastAsia" w:ascii="宋体" w:hAnsi="宋体" w:eastAsia="宋体" w:cs="宋体"/>
          <w:spacing w:val="-4"/>
          <w:szCs w:val="28"/>
        </w:rPr>
        <w:t>号）文件要求，矿山生产规模为</w:t>
      </w:r>
      <w:r>
        <w:rPr>
          <w:rFonts w:hint="eastAsia" w:ascii="宋体" w:hAnsi="宋体" w:eastAsia="宋体" w:cs="宋体"/>
          <w:spacing w:val="-4"/>
          <w:szCs w:val="28"/>
          <w:lang w:val="en-US" w:eastAsia="zh-CN"/>
        </w:rPr>
        <w:t>30</w:t>
      </w:r>
      <w:r>
        <w:rPr>
          <w:rFonts w:hint="eastAsia" w:ascii="宋体" w:hAnsi="宋体" w:eastAsia="宋体" w:cs="宋体"/>
          <w:spacing w:val="-4"/>
          <w:szCs w:val="28"/>
        </w:rPr>
        <w:t>万</w:t>
      </w:r>
      <w:r>
        <w:rPr>
          <w:rFonts w:hint="eastAsia" w:ascii="宋体" w:hAnsi="宋体" w:eastAsia="宋体" w:cs="宋体"/>
          <w:color w:val="auto"/>
          <w:szCs w:val="28"/>
          <w:lang w:val="en-US" w:eastAsia="zh-CN"/>
        </w:rPr>
        <w:t>立方米</w:t>
      </w:r>
      <w:r>
        <w:rPr>
          <w:rFonts w:hint="eastAsia" w:ascii="宋体" w:hAnsi="宋体" w:eastAsia="宋体" w:cs="宋体"/>
          <w:spacing w:val="-4"/>
          <w:szCs w:val="28"/>
        </w:rPr>
        <w:t>/</w:t>
      </w:r>
      <w:r>
        <w:rPr>
          <w:rFonts w:hint="eastAsia" w:ascii="宋体" w:hAnsi="宋体" w:eastAsia="宋体" w:cs="宋体"/>
          <w:spacing w:val="-4"/>
          <w:szCs w:val="28"/>
          <w:lang w:val="en-US" w:eastAsia="zh-CN"/>
        </w:rPr>
        <w:t>年</w:t>
      </w:r>
      <w:r>
        <w:rPr>
          <w:rFonts w:hint="eastAsia" w:ascii="宋体" w:hAnsi="宋体" w:eastAsia="宋体" w:cs="宋体"/>
          <w:spacing w:val="-4"/>
          <w:szCs w:val="28"/>
        </w:rPr>
        <w:t>,设计服务年限为</w:t>
      </w:r>
      <w:r>
        <w:rPr>
          <w:rFonts w:hint="eastAsia" w:ascii="宋体" w:hAnsi="宋体" w:eastAsia="宋体" w:cs="宋体"/>
          <w:spacing w:val="-4"/>
          <w:szCs w:val="28"/>
          <w:lang w:val="en-US" w:eastAsia="zh-CN"/>
        </w:rPr>
        <w:t>2.40年</w:t>
      </w:r>
      <w:r>
        <w:rPr>
          <w:rFonts w:hint="eastAsia" w:ascii="宋体" w:hAnsi="宋体" w:eastAsia="宋体" w:cs="宋体"/>
          <w:spacing w:val="-4"/>
          <w:szCs w:val="28"/>
          <w:lang w:val="zh-CN"/>
        </w:rPr>
        <w:t>。</w:t>
      </w:r>
    </w:p>
    <w:p w14:paraId="4D8D901E">
      <w:pPr>
        <w:keepNext w:val="0"/>
        <w:keepLines w:val="0"/>
        <w:pageBreakBefore w:val="0"/>
        <w:widowControl/>
        <w:kinsoku w:val="0"/>
        <w:wordWrap/>
        <w:overflowPunct/>
        <w:topLinePunct w:val="0"/>
        <w:autoSpaceDE w:val="0"/>
        <w:autoSpaceDN w:val="0"/>
        <w:bidi w:val="0"/>
        <w:adjustRightInd w:val="0"/>
        <w:snapToGrid w:val="0"/>
        <w:spacing w:after="0" w:afterLines="50"/>
        <w:ind w:firstLine="546"/>
        <w:textAlignment w:val="baseline"/>
        <w:outlineLvl w:val="0"/>
        <w:rPr>
          <w:rFonts w:hint="eastAsia" w:ascii="宋体" w:hAnsi="宋体" w:eastAsia="宋体" w:cs="宋体"/>
          <w:b/>
          <w:bCs/>
          <w:color w:val="auto"/>
          <w:spacing w:val="-4"/>
          <w:szCs w:val="28"/>
        </w:rPr>
      </w:pPr>
      <w:r>
        <w:rPr>
          <w:rFonts w:hint="eastAsia" w:ascii="宋体" w:hAnsi="宋体" w:eastAsia="宋体" w:cs="宋体"/>
          <w:b/>
          <w:bCs/>
          <w:color w:val="auto"/>
          <w:spacing w:val="-4"/>
          <w:szCs w:val="28"/>
        </w:rPr>
        <w:t>四、采矿及选矿方案</w:t>
      </w:r>
    </w:p>
    <w:p w14:paraId="27BE6B28">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矿山采用采用露天开采方式，</w:t>
      </w:r>
      <w:r>
        <w:rPr>
          <w:rFonts w:hint="eastAsia" w:ascii="宋体" w:hAnsi="宋体" w:eastAsia="宋体" w:cs="宋体"/>
          <w:color w:val="000000" w:themeColor="text1"/>
          <w:spacing w:val="1"/>
          <w:szCs w:val="28"/>
          <w:lang w:val="en-US" w:eastAsia="zh-CN"/>
          <w14:textFill>
            <w14:solidFill>
              <w14:schemeClr w14:val="tx1"/>
            </w14:solidFill>
          </w14:textFill>
        </w:rPr>
        <w:t>汽车</w:t>
      </w:r>
      <w:r>
        <w:rPr>
          <w:rFonts w:hint="eastAsia" w:ascii="宋体" w:hAnsi="宋体" w:eastAsia="宋体" w:cs="宋体"/>
          <w:color w:val="000000" w:themeColor="text1"/>
          <w:spacing w:val="1"/>
          <w:szCs w:val="28"/>
          <w14:textFill>
            <w14:solidFill>
              <w14:schemeClr w14:val="tx1"/>
            </w14:solidFill>
          </w14:textFill>
        </w:rPr>
        <w:t>开拓运输方式，自上而下水分层台阶式的采矿方法，选择合理参数圈定露天开采境界，设计采矿回采率9</w:t>
      </w:r>
      <w:r>
        <w:rPr>
          <w:rFonts w:hint="eastAsia" w:ascii="宋体" w:hAnsi="宋体" w:eastAsia="宋体" w:cs="宋体"/>
          <w:color w:val="000000" w:themeColor="text1"/>
          <w:spacing w:val="1"/>
          <w:szCs w:val="28"/>
          <w:lang w:val="en-US" w:eastAsia="zh-CN"/>
          <w14:textFill>
            <w14:solidFill>
              <w14:schemeClr w14:val="tx1"/>
            </w14:solidFill>
          </w14:textFill>
        </w:rPr>
        <w:t>5</w:t>
      </w:r>
      <w:r>
        <w:rPr>
          <w:rFonts w:hint="eastAsia" w:ascii="宋体" w:hAnsi="宋体" w:eastAsia="宋体" w:cs="宋体"/>
          <w:color w:val="000000" w:themeColor="text1"/>
          <w:spacing w:val="1"/>
          <w:szCs w:val="28"/>
          <w14:textFill>
            <w14:solidFill>
              <w14:schemeClr w14:val="tx1"/>
            </w14:solidFill>
          </w14:textFill>
        </w:rPr>
        <w:t>%，采矿损失率</w:t>
      </w:r>
      <w:r>
        <w:rPr>
          <w:rFonts w:hint="eastAsia" w:ascii="宋体" w:hAnsi="宋体" w:eastAsia="宋体" w:cs="宋体"/>
          <w:color w:val="000000" w:themeColor="text1"/>
          <w:spacing w:val="1"/>
          <w:szCs w:val="28"/>
          <w:lang w:val="en-US" w:eastAsia="zh-CN"/>
          <w14:textFill>
            <w14:solidFill>
              <w14:schemeClr w14:val="tx1"/>
            </w14:solidFill>
          </w14:textFill>
        </w:rPr>
        <w:t>2</w:t>
      </w:r>
      <w:r>
        <w:rPr>
          <w:rFonts w:hint="eastAsia" w:ascii="宋体" w:hAnsi="宋体" w:eastAsia="宋体" w:cs="宋体"/>
          <w:color w:val="000000" w:themeColor="text1"/>
          <w:spacing w:val="1"/>
          <w:szCs w:val="28"/>
          <w14:textFill>
            <w14:solidFill>
              <w14:schemeClr w14:val="tx1"/>
            </w14:solidFill>
          </w14:textFill>
        </w:rPr>
        <w:t>%。</w:t>
      </w:r>
    </w:p>
    <w:p w14:paraId="5B520399">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筛选工艺流程如下：</w:t>
      </w:r>
    </w:p>
    <w:p w14:paraId="051A8769">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胶带输送机→震动筛→筛分分级并水洗→胶带输送机转运→装载机铲装、自卸汽车倒运至成品堆放场。</w:t>
      </w:r>
    </w:p>
    <w:p w14:paraId="19CD822A">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根据市场对砂石料的需求，本矿山产品规格确定为：粒级0.15-5毫米水洗砂，粒级8－5毫米粗砂，粒级20－8毫米石子，粒级40－20毫米石子。</w:t>
      </w:r>
    </w:p>
    <w:p w14:paraId="7756BC7B">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矿山在实际采选开发生产建设活动中，要以正式设计单位编制并审核通过的采选等设计为准执行。</w:t>
      </w:r>
    </w:p>
    <w:p w14:paraId="07D65DB8">
      <w:pPr>
        <w:ind w:firstLine="558"/>
        <w:outlineLvl w:val="0"/>
        <w:rPr>
          <w:rFonts w:ascii="宋体" w:hAnsi="宋体" w:eastAsia="宋体" w:cs="宋体"/>
          <w:b/>
          <w:bCs/>
          <w:color w:val="000000" w:themeColor="text1"/>
          <w:spacing w:val="-1"/>
          <w:szCs w:val="28"/>
          <w14:textFill>
            <w14:solidFill>
              <w14:schemeClr w14:val="tx1"/>
            </w14:solidFill>
          </w14:textFill>
        </w:rPr>
      </w:pPr>
      <w:r>
        <w:rPr>
          <w:rFonts w:hint="eastAsia" w:ascii="宋体" w:hAnsi="宋体" w:eastAsia="宋体" w:cs="宋体"/>
          <w:b/>
          <w:bCs/>
          <w:color w:val="000000" w:themeColor="text1"/>
          <w:spacing w:val="-1"/>
          <w:szCs w:val="28"/>
          <w14:textFill>
            <w14:solidFill>
              <w14:schemeClr w14:val="tx1"/>
            </w14:solidFill>
          </w14:textFill>
        </w:rPr>
        <w:t>五、产品方案</w:t>
      </w:r>
    </w:p>
    <w:p w14:paraId="5AF0B6D0">
      <w:pPr>
        <w:ind w:firstLine="564"/>
        <w:rPr>
          <w:rFonts w:hint="eastAsia" w:ascii="宋体" w:hAnsi="宋体" w:eastAsia="宋体" w:cs="宋体"/>
          <w:color w:val="000000" w:themeColor="text1"/>
          <w:spacing w:val="1"/>
          <w:szCs w:val="28"/>
          <w14:textFill>
            <w14:solidFill>
              <w14:schemeClr w14:val="tx1"/>
            </w14:solidFill>
          </w14:textFill>
        </w:rPr>
      </w:pPr>
      <w:r>
        <w:rPr>
          <w:rFonts w:hint="eastAsia" w:ascii="宋体" w:hAnsi="宋体" w:eastAsia="宋体" w:cs="宋体"/>
          <w:color w:val="000000" w:themeColor="text1"/>
          <w:spacing w:val="1"/>
          <w:szCs w:val="28"/>
          <w14:textFill>
            <w14:solidFill>
              <w14:schemeClr w14:val="tx1"/>
            </w14:solidFill>
          </w14:textFill>
        </w:rPr>
        <w:t>根据市场对砂石料的需求，本矿山产品规格确定为：粒级0.15-5毫米水洗砂，粒级8－5毫米粗砂，粒级20－8毫米石子，粒级40－20毫米石子。</w:t>
      </w:r>
    </w:p>
    <w:p w14:paraId="4CFCF0BD">
      <w:pPr>
        <w:ind w:firstLine="550"/>
        <w:outlineLvl w:val="0"/>
        <w:rPr>
          <w:rFonts w:ascii="宋体" w:hAnsi="宋体" w:eastAsia="宋体" w:cs="宋体"/>
          <w:b/>
          <w:bCs/>
          <w:color w:val="000000" w:themeColor="text1"/>
          <w:spacing w:val="-1"/>
          <w:szCs w:val="28"/>
          <w14:textFill>
            <w14:solidFill>
              <w14:schemeClr w14:val="tx1"/>
            </w14:solidFill>
          </w14:textFill>
        </w:rPr>
      </w:pPr>
      <w:r>
        <w:rPr>
          <w:rFonts w:hint="eastAsia" w:ascii="宋体" w:hAnsi="宋体" w:eastAsia="宋体" w:cs="宋体"/>
          <w:b/>
          <w:bCs/>
          <w:color w:val="000000" w:themeColor="text1"/>
          <w:spacing w:val="-3"/>
          <w:szCs w:val="28"/>
          <w14:textFill>
            <w14:solidFill>
              <w14:schemeClr w14:val="tx1"/>
            </w14:solidFill>
          </w14:textFill>
        </w:rPr>
        <w:t>六、</w:t>
      </w:r>
      <w:r>
        <w:rPr>
          <w:rFonts w:hint="eastAsia" w:ascii="宋体" w:hAnsi="宋体" w:eastAsia="宋体" w:cs="宋体"/>
          <w:b/>
          <w:bCs/>
          <w:color w:val="000000" w:themeColor="text1"/>
          <w:spacing w:val="-4"/>
          <w:szCs w:val="28"/>
          <w14:textFill>
            <w14:solidFill>
              <w14:schemeClr w14:val="tx1"/>
            </w14:solidFill>
          </w14:textFill>
        </w:rPr>
        <w:t>绿色矿山建设</w:t>
      </w:r>
    </w:p>
    <w:p w14:paraId="7179070C">
      <w:pPr>
        <w:keepNext w:val="0"/>
        <w:keepLines w:val="0"/>
        <w:pageBreakBefore w:val="0"/>
        <w:widowControl/>
        <w:kinsoku w:val="0"/>
        <w:wordWrap/>
        <w:overflowPunct/>
        <w:topLinePunct w:val="0"/>
        <w:autoSpaceDE w:val="0"/>
        <w:autoSpaceDN w:val="0"/>
        <w:bidi w:val="0"/>
        <w:adjustRightInd w:val="0"/>
        <w:snapToGrid w:val="0"/>
        <w:spacing w:line="360" w:lineRule="auto"/>
        <w:ind w:firstLine="544"/>
        <w:textAlignment w:val="baseline"/>
        <w:rPr>
          <w:rFonts w:ascii="宋体" w:hAnsi="宋体" w:eastAsia="宋体" w:cs="宋体"/>
          <w:color w:val="000000" w:themeColor="text1"/>
          <w:spacing w:val="-2"/>
          <w:szCs w:val="28"/>
          <w14:textFill>
            <w14:solidFill>
              <w14:schemeClr w14:val="tx1"/>
            </w14:solidFill>
          </w14:textFill>
        </w:rPr>
      </w:pPr>
      <w:r>
        <w:rPr>
          <w:rFonts w:hint="eastAsia" w:ascii="宋体" w:hAnsi="宋体" w:eastAsia="宋体" w:cs="宋体"/>
          <w:color w:val="000000" w:themeColor="text1"/>
          <w:spacing w:val="-4"/>
          <w:szCs w:val="28"/>
          <w14:textFill>
            <w14:solidFill>
              <w14:schemeClr w14:val="tx1"/>
            </w14:solidFill>
          </w14:textFill>
        </w:rPr>
        <w:t>设计采取的开采工艺以及选矿工艺符合本行业绿色矿山建设规范和节约与综合</w:t>
      </w:r>
      <w:r>
        <w:rPr>
          <w:rFonts w:hint="eastAsia" w:ascii="宋体" w:hAnsi="宋体" w:eastAsia="宋体" w:cs="宋体"/>
          <w:color w:val="000000" w:themeColor="text1"/>
          <w:spacing w:val="-2"/>
          <w:szCs w:val="28"/>
          <w14:textFill>
            <w14:solidFill>
              <w14:schemeClr w14:val="tx1"/>
            </w14:solidFill>
          </w14:textFill>
        </w:rPr>
        <w:t>利用要求。设计</w:t>
      </w:r>
      <w:r>
        <w:rPr>
          <w:rFonts w:hint="eastAsia" w:ascii="宋体" w:hAnsi="宋体" w:eastAsia="宋体" w:cs="宋体"/>
          <w:color w:val="000000" w:themeColor="text1"/>
          <w:spacing w:val="1"/>
          <w:szCs w:val="28"/>
          <w14:textFill>
            <w14:solidFill>
              <w14:schemeClr w14:val="tx1"/>
            </w14:solidFill>
          </w14:textFill>
        </w:rPr>
        <w:t>采矿回采率、选矿回收率、综合利用率指标为：</w:t>
      </w:r>
    </w:p>
    <w:p w14:paraId="04B98C59">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auto"/>
          <w:spacing w:val="1"/>
          <w:szCs w:val="28"/>
        </w:rPr>
      </w:pPr>
      <w:r>
        <w:rPr>
          <w:rFonts w:hint="eastAsia" w:ascii="宋体" w:hAnsi="宋体" w:eastAsia="宋体" w:cs="宋体"/>
          <w:color w:val="000000" w:themeColor="text1"/>
          <w:spacing w:val="1"/>
          <w:szCs w:val="28"/>
          <w14:textFill>
            <w14:solidFill>
              <w14:schemeClr w14:val="tx1"/>
            </w14:solidFill>
          </w14:textFill>
        </w:rPr>
        <w:t>采矿回采率：根据开采技术条件，本矿采用露天采矿回采率指标应达到</w:t>
      </w:r>
      <w:r>
        <w:rPr>
          <w:rFonts w:ascii="宋体" w:hAnsi="宋体" w:eastAsia="宋体" w:cs="宋体"/>
          <w:color w:val="000000" w:themeColor="text1"/>
          <w:spacing w:val="1"/>
          <w:szCs w:val="28"/>
          <w14:textFill>
            <w14:solidFill>
              <w14:schemeClr w14:val="tx1"/>
            </w14:solidFill>
          </w14:textFill>
        </w:rPr>
        <w:t>9</w:t>
      </w:r>
      <w:r>
        <w:rPr>
          <w:rFonts w:hint="eastAsia" w:ascii="宋体" w:hAnsi="宋体" w:eastAsia="宋体" w:cs="宋体"/>
          <w:color w:val="000000" w:themeColor="text1"/>
          <w:spacing w:val="1"/>
          <w:szCs w:val="28"/>
          <w:lang w:val="en-US" w:eastAsia="zh-CN"/>
          <w14:textFill>
            <w14:solidFill>
              <w14:schemeClr w14:val="tx1"/>
            </w14:solidFill>
          </w14:textFill>
        </w:rPr>
        <w:t>5</w:t>
      </w:r>
      <w:r>
        <w:rPr>
          <w:rFonts w:hint="eastAsia" w:ascii="宋体" w:hAnsi="宋体" w:eastAsia="宋体" w:cs="宋体"/>
          <w:color w:val="000000" w:themeColor="text1"/>
          <w:spacing w:val="1"/>
          <w:szCs w:val="28"/>
          <w14:textFill>
            <w14:solidFill>
              <w14:schemeClr w14:val="tx1"/>
            </w14:solidFill>
          </w14:textFill>
        </w:rPr>
        <w:t>%，本次设计采用自上而下水分层台阶式的采矿方法回采率9</w:t>
      </w:r>
      <w:r>
        <w:rPr>
          <w:rFonts w:hint="eastAsia" w:ascii="宋体" w:hAnsi="宋体" w:eastAsia="宋体" w:cs="宋体"/>
          <w:color w:val="000000" w:themeColor="text1"/>
          <w:spacing w:val="1"/>
          <w:szCs w:val="28"/>
          <w:lang w:val="en-US" w:eastAsia="zh-CN"/>
          <w14:textFill>
            <w14:solidFill>
              <w14:schemeClr w14:val="tx1"/>
            </w14:solidFill>
          </w14:textFill>
        </w:rPr>
        <w:t>5</w:t>
      </w:r>
      <w:r>
        <w:rPr>
          <w:rFonts w:ascii="宋体" w:hAnsi="宋体" w:eastAsia="宋体" w:cs="宋体"/>
          <w:color w:val="000000" w:themeColor="text1"/>
          <w:spacing w:val="1"/>
          <w:szCs w:val="28"/>
          <w14:textFill>
            <w14:solidFill>
              <w14:schemeClr w14:val="tx1"/>
            </w14:solidFill>
          </w14:textFill>
        </w:rPr>
        <w:t>%</w:t>
      </w:r>
      <w:r>
        <w:rPr>
          <w:rFonts w:hint="eastAsia" w:ascii="宋体" w:hAnsi="宋体" w:eastAsia="宋体" w:cs="宋体"/>
          <w:color w:val="000000" w:themeColor="text1"/>
          <w:spacing w:val="1"/>
          <w:szCs w:val="28"/>
          <w14:textFill>
            <w14:solidFill>
              <w14:schemeClr w14:val="tx1"/>
            </w14:solidFill>
          </w14:textFill>
        </w:rPr>
        <w:t>，采矿损失率</w:t>
      </w:r>
      <w:r>
        <w:rPr>
          <w:rFonts w:hint="eastAsia" w:ascii="宋体" w:hAnsi="宋体" w:eastAsia="宋体" w:cs="宋体"/>
          <w:color w:val="000000" w:themeColor="text1"/>
          <w:spacing w:val="1"/>
          <w:szCs w:val="28"/>
          <w:lang w:val="en-US" w:eastAsia="zh-CN"/>
          <w14:textFill>
            <w14:solidFill>
              <w14:schemeClr w14:val="tx1"/>
            </w14:solidFill>
          </w14:textFill>
        </w:rPr>
        <w:t>2</w:t>
      </w:r>
      <w:r>
        <w:rPr>
          <w:rFonts w:hint="eastAsia" w:ascii="宋体" w:hAnsi="宋体" w:eastAsia="宋体" w:cs="宋体"/>
          <w:color w:val="000000" w:themeColor="text1"/>
          <w:spacing w:val="1"/>
          <w:szCs w:val="28"/>
          <w14:textFill>
            <w14:solidFill>
              <w14:schemeClr w14:val="tx1"/>
            </w14:solidFill>
          </w14:textFill>
        </w:rPr>
        <w:t>%，采矿回采率指标均符合</w:t>
      </w:r>
      <w:r>
        <w:rPr>
          <w:rFonts w:hint="eastAsia" w:ascii="宋体" w:hAnsi="宋体" w:eastAsia="宋体" w:cs="宋体"/>
          <w:color w:val="000000" w:themeColor="text1"/>
          <w:spacing w:val="1"/>
          <w:szCs w:val="28"/>
          <w:lang w:val="zh-CN"/>
          <w14:textFill>
            <w14:solidFill>
              <w14:schemeClr w14:val="tx1"/>
            </w14:solidFill>
          </w14:textFill>
        </w:rPr>
        <w:t>《装饰石材矿山露天开采工程设计规范》（GB50970-2014）</w:t>
      </w:r>
      <w:r>
        <w:rPr>
          <w:rFonts w:hint="eastAsia" w:ascii="宋体" w:hAnsi="宋体" w:eastAsia="宋体" w:cs="宋体"/>
          <w:color w:val="000000" w:themeColor="text1"/>
          <w:spacing w:val="1"/>
          <w:szCs w:val="28"/>
          <w14:textFill>
            <w14:solidFill>
              <w14:schemeClr w14:val="tx1"/>
            </w14:solidFill>
          </w14:textFill>
        </w:rPr>
        <w:t>规定采矿回采率指标要求。</w:t>
      </w:r>
    </w:p>
    <w:p w14:paraId="1AD3A670">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auto"/>
          <w:spacing w:val="1"/>
          <w:szCs w:val="28"/>
        </w:rPr>
      </w:pPr>
      <w:bookmarkStart w:id="3" w:name="_Hlk91925669"/>
      <w:r>
        <w:rPr>
          <w:rFonts w:hint="eastAsia" w:ascii="宋体" w:hAnsi="宋体" w:eastAsia="宋体" w:cs="宋体"/>
          <w:color w:val="auto"/>
          <w:spacing w:val="1"/>
          <w:szCs w:val="28"/>
        </w:rPr>
        <w:t>综合利用率：</w:t>
      </w:r>
      <w:bookmarkEnd w:id="3"/>
      <w:r>
        <w:rPr>
          <w:rFonts w:hint="eastAsia" w:ascii="宋体" w:hAnsi="宋体" w:eastAsia="宋体" w:cs="宋体"/>
          <w:color w:val="auto"/>
          <w:spacing w:val="1"/>
          <w:szCs w:val="28"/>
        </w:rPr>
        <w:t>本矿无共伴生矿，对于矿山废石可闭坑后回填采矿场，固废利用率100%。</w:t>
      </w:r>
    </w:p>
    <w:p w14:paraId="0AAC2083">
      <w:pPr>
        <w:keepNext w:val="0"/>
        <w:keepLines w:val="0"/>
        <w:pageBreakBefore w:val="0"/>
        <w:widowControl/>
        <w:kinsoku w:val="0"/>
        <w:wordWrap/>
        <w:overflowPunct/>
        <w:topLinePunct w:val="0"/>
        <w:autoSpaceDE w:val="0"/>
        <w:autoSpaceDN w:val="0"/>
        <w:bidi w:val="0"/>
        <w:adjustRightInd w:val="0"/>
        <w:snapToGrid w:val="0"/>
        <w:spacing w:line="360" w:lineRule="auto"/>
        <w:ind w:firstLine="564"/>
        <w:textAlignment w:val="baseline"/>
        <w:rPr>
          <w:rFonts w:hint="eastAsia" w:ascii="宋体" w:hAnsi="宋体" w:eastAsia="宋体" w:cs="宋体"/>
          <w:color w:val="auto"/>
          <w:spacing w:val="1"/>
          <w:szCs w:val="28"/>
        </w:rPr>
      </w:pPr>
      <w:r>
        <w:rPr>
          <w:rFonts w:hint="eastAsia" w:ascii="宋体" w:hAnsi="宋体" w:eastAsia="宋体" w:cs="宋体"/>
          <w:color w:val="auto"/>
          <w:spacing w:val="1"/>
          <w:szCs w:val="28"/>
        </w:rPr>
        <w:t>七、矿区地质环境</w:t>
      </w:r>
      <w:bookmarkStart w:id="4" w:name="_Hlk91925963"/>
      <w:r>
        <w:rPr>
          <w:rFonts w:hint="eastAsia" w:ascii="宋体" w:hAnsi="宋体" w:eastAsia="宋体" w:cs="宋体"/>
          <w:color w:val="auto"/>
          <w:spacing w:val="1"/>
          <w:szCs w:val="28"/>
        </w:rPr>
        <w:t>治理恢复</w:t>
      </w:r>
      <w:bookmarkEnd w:id="4"/>
    </w:p>
    <w:p w14:paraId="5953C6C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（一）本次工作查明了矿山环境现状，分析了矿山环境发展趋势，其论述内容基本全面，结论基本正确。</w:t>
      </w:r>
    </w:p>
    <w:p w14:paraId="5391E638">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（二）确定评估级别为</w:t>
      </w:r>
      <w:r>
        <w:rPr>
          <w:rFonts w:hint="eastAsia" w:ascii="宋体" w:hAnsi="宋体" w:eastAsia="宋体" w:cs="宋体"/>
          <w:color w:val="000000" w:themeColor="text1"/>
          <w:szCs w:val="28"/>
          <w:lang w:val="en-US" w:eastAsia="zh-CN"/>
          <w14:textFill>
            <w14:solidFill>
              <w14:schemeClr w14:val="tx1"/>
            </w14:solidFill>
          </w14:textFill>
        </w:rPr>
        <w:t>一</w:t>
      </w:r>
      <w:r>
        <w:rPr>
          <w:rFonts w:hint="eastAsia" w:ascii="宋体" w:hAnsi="宋体" w:eastAsia="宋体" w:cs="宋体"/>
          <w:color w:val="000000" w:themeColor="text1"/>
          <w:szCs w:val="28"/>
          <w14:textFill>
            <w14:solidFill>
              <w14:schemeClr w14:val="tx1"/>
            </w14:solidFill>
          </w14:textFill>
        </w:rPr>
        <w:t>级，评估区面积</w:t>
      </w:r>
      <w:r>
        <w:rPr>
          <w:rFonts w:hint="eastAsia" w:ascii="宋体" w:hAnsi="宋体" w:eastAsia="宋体" w:cs="宋体"/>
          <w:color w:val="000000" w:themeColor="text1"/>
          <w:szCs w:val="28"/>
          <w:lang w:val="en-US" w:eastAsia="zh-CN"/>
          <w14:textFill>
            <w14:solidFill>
              <w14:schemeClr w14:val="tx1"/>
            </w14:solidFill>
          </w14:textFill>
        </w:rPr>
        <w:t>25.22公顷</w:t>
      </w:r>
      <w:r>
        <w:rPr>
          <w:rFonts w:hint="eastAsia" w:ascii="宋体" w:hAnsi="宋体" w:eastAsia="宋体" w:cs="宋体"/>
          <w:color w:val="000000" w:themeColor="text1"/>
          <w:szCs w:val="28"/>
          <w14:textFill>
            <w14:solidFill>
              <w14:schemeClr w14:val="tx1"/>
            </w14:solidFill>
          </w14:textFill>
        </w:rPr>
        <w:t>，评估等级划分正确，评估范围确定合理。</w:t>
      </w:r>
    </w:p>
    <w:p w14:paraId="5672DBE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（三）对矿山地质环境影响进行了现状分析评估，经评估，现状条件下矿区内各类地质灾害不发育，含水层破坏、</w:t>
      </w:r>
      <w:r>
        <w:rPr>
          <w:rFonts w:hint="eastAsia" w:ascii="宋体" w:hAnsi="宋体" w:eastAsia="宋体" w:cs="宋体"/>
          <w:color w:val="000000" w:themeColor="text1"/>
          <w:szCs w:val="28"/>
          <w:lang w:val="en-US" w:eastAsia="zh-CN"/>
          <w14:textFill>
            <w14:solidFill>
              <w14:schemeClr w14:val="tx1"/>
            </w14:solidFill>
          </w14:textFill>
        </w:rPr>
        <w:t>地形地貌、</w:t>
      </w:r>
      <w:r>
        <w:rPr>
          <w:rFonts w:hint="eastAsia" w:ascii="宋体" w:hAnsi="宋体" w:eastAsia="宋体" w:cs="宋体"/>
          <w:color w:val="000000" w:themeColor="text1"/>
          <w:szCs w:val="28"/>
          <w14:textFill>
            <w14:solidFill>
              <w14:schemeClr w14:val="tx1"/>
            </w14:solidFill>
          </w14:textFill>
        </w:rPr>
        <w:t>水土环境污染、大气环境污染等方面影响程度较轻，对矿山地质环境的影响程度较轻。</w:t>
      </w:r>
    </w:p>
    <w:p w14:paraId="2E69570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矿山地质环境影响现状评估划分为较轻区和较严重区，评估区总面积25.22公顷，其中：较严重区：面积7.3543公顷，为现有采坑、办公生活区和矿区道路。较轻区：面积16.9705公顷，为上述区域以外的评估区其他区域。预测区内地质灾害不发育，危害程度较轻；矿山开采对含水层、地形地貌景观、水土环境污染及大气环境污染影响程度较轻。</w:t>
      </w:r>
    </w:p>
    <w:p w14:paraId="427C97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snapToGrid w:val="0"/>
          <w:color w:val="auto"/>
          <w:sz w:val="28"/>
          <w:szCs w:val="28"/>
          <w:lang w:val="en-US" w:eastAsia="zh-CN" w:bidi="ar-SA"/>
        </w:rPr>
        <w:t>（四）</w:t>
      </w:r>
      <w:r>
        <w:rPr>
          <w:rFonts w:hint="eastAsia" w:ascii="宋体" w:hAnsi="宋体" w:eastAsia="宋体" w:cs="宋体"/>
          <w:color w:val="auto"/>
          <w:szCs w:val="28"/>
        </w:rPr>
        <w:t>对采矿活动对矿山地质环境的影响进行了预测评估，经评估，矿山地质环境影响预测评估划分为严重区、较严重区和较轻区，评估区总面积25.22公顷，其中：严重区：面积20.0公顷，为规划露天采场；较严重区：面积0.3163公顷，为矿区外矿山道路、办公生活区；较轻区：面积7.3285公顷，为上述区域以外的评估区其他区域。</w:t>
      </w:r>
    </w:p>
    <w:p w14:paraId="63DC398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预测区内地质灾害不发育，危害程度较轻；矿山开采对含水层、地形地貌景观、水土环境污染及大气环境污染程度较轻。</w:t>
      </w:r>
    </w:p>
    <w:p w14:paraId="5AB12F6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（五）确定了矿山环境保护与治理恢复的原则、目标和任务，对矿区进行了矿山环境保护与治理恢复分区，并提出了具体的保护、治理以及监测方案，并进行了经费概算。</w:t>
      </w:r>
    </w:p>
    <w:p w14:paraId="67FC6F0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1、矿山环境保护与综合治理分区</w:t>
      </w:r>
    </w:p>
    <w:p w14:paraId="0A95778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划分了重点防治区、次重点防治区和一般防治区。重点防治区为露天采矿场，重点防治区面积20.00公顷，该区现状评估各场地对矿山地质环境影响程度为较轻；预测评估对矿山地质环境影响程度为严重。共划分为2个次重点防治区，为办公生活区、矿山道路，面积0.3163公顷。一般防治区划分为1个防治区，为除重点区外其他区域，面积7.3285公顷，现状评估对矿山地质环境影响程度为较轻；预测评估对矿山地质环境影响程度为较轻。</w:t>
      </w:r>
    </w:p>
    <w:p w14:paraId="0519D6B8">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2、地质环境治理工程</w:t>
      </w:r>
    </w:p>
    <w:p w14:paraId="576C9D9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（1）矿山地质灾害防治及监测：对预测</w:t>
      </w:r>
      <w:bookmarkStart w:id="5" w:name="_Hlk100051217"/>
      <w:r>
        <w:rPr>
          <w:rFonts w:hint="eastAsia" w:ascii="宋体" w:hAnsi="宋体" w:eastAsia="宋体" w:cs="宋体"/>
          <w:color w:val="auto"/>
          <w:szCs w:val="28"/>
        </w:rPr>
        <w:t>存在崩塌地质灾害</w:t>
      </w:r>
      <w:bookmarkEnd w:id="5"/>
      <w:r>
        <w:rPr>
          <w:rFonts w:hint="eastAsia" w:ascii="宋体" w:hAnsi="宋体" w:eastAsia="宋体" w:cs="宋体"/>
          <w:color w:val="auto"/>
          <w:szCs w:val="28"/>
        </w:rPr>
        <w:t>的采矿场外设置铁丝围栏</w:t>
      </w:r>
      <w:r>
        <w:rPr>
          <w:rFonts w:hint="eastAsia" w:ascii="宋体" w:hAnsi="宋体" w:eastAsia="宋体" w:cs="宋体"/>
          <w:color w:val="auto"/>
          <w:szCs w:val="28"/>
          <w:lang w:val="en-US" w:eastAsia="zh-CN"/>
        </w:rPr>
        <w:t>1830</w:t>
      </w:r>
      <w:r>
        <w:rPr>
          <w:rFonts w:hint="eastAsia" w:ascii="宋体" w:hAnsi="宋体" w:eastAsia="宋体" w:cs="宋体"/>
          <w:color w:val="auto"/>
          <w:szCs w:val="28"/>
        </w:rPr>
        <w:t>米，警示牌</w:t>
      </w:r>
      <w:r>
        <w:rPr>
          <w:rFonts w:hint="eastAsia" w:ascii="宋体" w:hAnsi="宋体" w:eastAsia="宋体" w:cs="宋体"/>
          <w:color w:val="auto"/>
          <w:szCs w:val="28"/>
          <w:lang w:val="en-US" w:eastAsia="zh-CN"/>
        </w:rPr>
        <w:t>10</w:t>
      </w:r>
      <w:r>
        <w:rPr>
          <w:rFonts w:hint="eastAsia" w:ascii="宋体" w:hAnsi="宋体" w:eastAsia="宋体" w:cs="宋体"/>
          <w:color w:val="auto"/>
          <w:szCs w:val="28"/>
        </w:rPr>
        <w:t>个；建立矿山地质环境监测系统，完成崩塌等地质灾害监测点的布置等。该项目工作贯穿整个矿山服务年限。</w:t>
      </w:r>
    </w:p>
    <w:p w14:paraId="69B5F98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（2）含水层破坏的预防、修复及监测：每半个月将生活垃圾清运至垃圾填埋场处理</w:t>
      </w:r>
      <w:r>
        <w:rPr>
          <w:rFonts w:hint="eastAsia" w:ascii="宋体" w:hAnsi="宋体" w:eastAsia="宋体" w:cs="宋体"/>
          <w:color w:val="auto"/>
          <w:szCs w:val="28"/>
          <w:lang w:eastAsia="zh-CN"/>
        </w:rPr>
        <w:t>。</w:t>
      </w:r>
      <w:r>
        <w:rPr>
          <w:rFonts w:hint="eastAsia" w:ascii="宋体" w:hAnsi="宋体" w:eastAsia="宋体" w:cs="宋体"/>
          <w:color w:val="auto"/>
          <w:szCs w:val="28"/>
        </w:rPr>
        <w:t>矿山生产对含水层结构破坏较小，未来主要采取预防工程措施，矿山闭坑后可以自然恢复，不需要进行专门的修复。</w:t>
      </w:r>
    </w:p>
    <w:p w14:paraId="544435D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矿山采用露天开采，评估区内无地表水体，矿体多位于当地侵蚀基准面和地下水位以上，对含水层破坏程度较轻，因此矿山不对含水层进行监测。</w:t>
      </w:r>
    </w:p>
    <w:p w14:paraId="5E1424C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w:t>
      </w:r>
      <w:r>
        <w:rPr>
          <w:rFonts w:ascii="宋体" w:hAnsi="宋体" w:eastAsia="宋体" w:cs="宋体"/>
          <w:color w:val="auto"/>
          <w:szCs w:val="28"/>
        </w:rPr>
        <w:t>3</w:t>
      </w:r>
      <w:r>
        <w:rPr>
          <w:rFonts w:hint="eastAsia" w:ascii="宋体" w:hAnsi="宋体" w:eastAsia="宋体" w:cs="宋体"/>
          <w:color w:val="auto"/>
          <w:szCs w:val="28"/>
        </w:rPr>
        <w:t>）地形地貌景观破坏的预防、修复及监测：矿山开采期间优化开采方案，减少对地表的挖损、压占破坏；对废弃物尽可能综合利用，减少对地形地貌景观的破坏；边开采边治理，及时恢复地貌。矿山闭坑后，将不再留用的地面建筑拆除，可利用材料外运再利用，建筑垃圾拉运至生活垃圾填埋场统一处置，对场地进行平整，恢复为原土地利用类型，使地形地貌景观破坏修复为与周边地形地貌相协调。监测频率</w:t>
      </w:r>
      <w:r>
        <w:rPr>
          <w:rFonts w:ascii="宋体" w:hAnsi="宋体" w:eastAsia="宋体" w:cs="宋体"/>
          <w:color w:val="auto"/>
          <w:szCs w:val="28"/>
        </w:rPr>
        <w:t>1</w:t>
      </w:r>
      <w:r>
        <w:rPr>
          <w:rFonts w:hint="eastAsia" w:ascii="宋体" w:hAnsi="宋体" w:eastAsia="宋体" w:cs="宋体"/>
          <w:color w:val="auto"/>
          <w:szCs w:val="28"/>
          <w:lang w:val="en-US" w:eastAsia="zh-CN"/>
        </w:rPr>
        <w:t>年</w:t>
      </w:r>
      <w:r>
        <w:rPr>
          <w:rFonts w:hint="eastAsia" w:ascii="宋体" w:hAnsi="宋体" w:eastAsia="宋体" w:cs="宋体"/>
          <w:color w:val="auto"/>
          <w:szCs w:val="28"/>
        </w:rPr>
        <w:t>监测</w:t>
      </w:r>
      <w:r>
        <w:rPr>
          <w:rFonts w:hint="eastAsia" w:ascii="宋体" w:hAnsi="宋体" w:eastAsia="宋体" w:cs="宋体"/>
          <w:color w:val="auto"/>
          <w:szCs w:val="28"/>
          <w:lang w:val="en-US" w:eastAsia="zh-CN"/>
        </w:rPr>
        <w:t>1</w:t>
      </w:r>
      <w:r>
        <w:rPr>
          <w:rFonts w:hint="eastAsia" w:ascii="宋体" w:hAnsi="宋体" w:eastAsia="宋体" w:cs="宋体"/>
          <w:color w:val="auto"/>
          <w:szCs w:val="28"/>
        </w:rPr>
        <w:t>次。</w:t>
      </w:r>
    </w:p>
    <w:p w14:paraId="6C92D35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bookmarkStart w:id="6" w:name="_Toc76982487"/>
      <w:bookmarkStart w:id="7" w:name="_Toc76982307"/>
      <w:bookmarkStart w:id="8" w:name="_Toc4933"/>
      <w:bookmarkStart w:id="9" w:name="_Toc76981923"/>
      <w:r>
        <w:rPr>
          <w:rFonts w:hint="eastAsia" w:ascii="宋体" w:hAnsi="宋体" w:eastAsia="宋体" w:cs="宋体"/>
          <w:color w:val="auto"/>
          <w:szCs w:val="28"/>
        </w:rPr>
        <w:t>（4）水土环境污染</w:t>
      </w:r>
      <w:bookmarkEnd w:id="6"/>
      <w:bookmarkEnd w:id="7"/>
      <w:bookmarkEnd w:id="8"/>
      <w:bookmarkEnd w:id="9"/>
      <w:r>
        <w:rPr>
          <w:rFonts w:hint="eastAsia" w:ascii="宋体" w:hAnsi="宋体" w:eastAsia="宋体" w:cs="宋体"/>
          <w:color w:val="auto"/>
          <w:szCs w:val="28"/>
        </w:rPr>
        <w:t>的预防、修复及监测：①矿山生产期间，矿山将生产活动控制在生产生活场地内，废石土临时堆存在</w:t>
      </w:r>
      <w:r>
        <w:rPr>
          <w:rFonts w:hint="eastAsia" w:ascii="宋体" w:hAnsi="宋体" w:eastAsia="宋体" w:cs="宋体"/>
          <w:color w:val="auto"/>
          <w:szCs w:val="28"/>
          <w:lang w:val="en-US" w:eastAsia="zh-CN"/>
        </w:rPr>
        <w:t>排土场</w:t>
      </w:r>
      <w:r>
        <w:rPr>
          <w:rFonts w:hint="eastAsia" w:ascii="宋体" w:hAnsi="宋体" w:eastAsia="宋体" w:cs="宋体"/>
          <w:color w:val="auto"/>
          <w:szCs w:val="28"/>
        </w:rPr>
        <w:t>；定期清运生活垃圾运至</w:t>
      </w:r>
      <w:r>
        <w:rPr>
          <w:rFonts w:hint="eastAsia" w:ascii="宋体" w:hAnsi="宋体" w:eastAsia="宋体" w:cs="宋体"/>
          <w:color w:val="auto"/>
          <w:szCs w:val="28"/>
          <w:lang w:val="en-US" w:eastAsia="zh-CN"/>
        </w:rPr>
        <w:t>垃圾填埋场</w:t>
      </w:r>
      <w:r>
        <w:rPr>
          <w:rFonts w:hint="eastAsia" w:ascii="宋体" w:hAnsi="宋体" w:eastAsia="宋体" w:cs="宋体"/>
          <w:color w:val="auto"/>
          <w:szCs w:val="28"/>
        </w:rPr>
        <w:t>统一处理；避免对土地造成污染损毁。 ②生活污水经处理后，达到《农村生活污水处理排放标准》（DB65 4275-2019）中的排放标准，用于矿区洒水降尘及绿化。③矿山未来仅采取监测和预防工程措施，不采取治理工程措施。④可能引发土壤污染的区域布设监测点，加强对土壤环境的动态跟踪监测。在</w:t>
      </w:r>
      <w:r>
        <w:rPr>
          <w:rFonts w:hint="eastAsia" w:ascii="宋体" w:hAnsi="宋体" w:eastAsia="宋体" w:cs="宋体"/>
          <w:color w:val="auto"/>
          <w:szCs w:val="28"/>
          <w:lang w:val="en-US" w:eastAsia="zh-CN"/>
        </w:rPr>
        <w:t>生活区、工业广场各</w:t>
      </w:r>
      <w:r>
        <w:rPr>
          <w:rFonts w:hint="eastAsia" w:ascii="宋体" w:hAnsi="宋体" w:eastAsia="宋体" w:cs="宋体"/>
          <w:color w:val="auto"/>
          <w:szCs w:val="28"/>
        </w:rPr>
        <w:t>布置</w:t>
      </w:r>
      <w:r>
        <w:rPr>
          <w:rFonts w:hint="eastAsia" w:ascii="宋体" w:hAnsi="宋体" w:eastAsia="宋体" w:cs="宋体"/>
          <w:color w:val="auto"/>
          <w:szCs w:val="28"/>
          <w:lang w:val="en-US" w:eastAsia="zh-CN"/>
        </w:rPr>
        <w:t>1</w:t>
      </w:r>
      <w:r>
        <w:rPr>
          <w:rFonts w:hint="eastAsia" w:ascii="宋体" w:hAnsi="宋体" w:eastAsia="宋体" w:cs="宋体"/>
          <w:color w:val="auto"/>
          <w:szCs w:val="28"/>
        </w:rPr>
        <w:t>个监测点，每年取土壤测试样</w:t>
      </w:r>
      <w:r>
        <w:rPr>
          <w:rFonts w:hint="eastAsia" w:ascii="宋体" w:hAnsi="宋体" w:eastAsia="宋体" w:cs="宋体"/>
          <w:color w:val="auto"/>
          <w:szCs w:val="28"/>
          <w:lang w:val="en-US" w:eastAsia="zh-CN"/>
        </w:rPr>
        <w:t>1</w:t>
      </w:r>
      <w:r>
        <w:rPr>
          <w:rFonts w:hint="eastAsia" w:ascii="宋体" w:hAnsi="宋体" w:eastAsia="宋体" w:cs="宋体"/>
          <w:color w:val="auto"/>
          <w:szCs w:val="28"/>
        </w:rPr>
        <w:t>次。（</w:t>
      </w:r>
      <w:r>
        <w:rPr>
          <w:rFonts w:hint="eastAsia" w:ascii="宋体" w:hAnsi="宋体" w:eastAsia="宋体"/>
          <w:color w:val="auto"/>
          <w:szCs w:val="28"/>
        </w:rPr>
        <w:t>实际生产建设中按照生态环境主管部门批复的环境影响评价和有关方案要求执行</w:t>
      </w:r>
      <w:r>
        <w:rPr>
          <w:rFonts w:hint="eastAsia" w:ascii="宋体" w:hAnsi="宋体" w:eastAsia="宋体" w:cs="宋体"/>
          <w:color w:val="auto"/>
          <w:szCs w:val="28"/>
        </w:rPr>
        <w:t>）</w:t>
      </w:r>
    </w:p>
    <w:p w14:paraId="0F1EC7B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（5）大气环境的预防、修复及监测：大气环境污染较轻，无需设计大气环境污染修复，以预防措施为主。主要在无组织排放源下风向布置1个监测点，进行大气环境监测。每年在矿山生产期采集气体样品</w:t>
      </w:r>
      <w:r>
        <w:rPr>
          <w:rFonts w:hint="eastAsia" w:ascii="宋体" w:hAnsi="宋体" w:eastAsia="宋体" w:cs="宋体"/>
          <w:color w:val="auto"/>
          <w:szCs w:val="28"/>
          <w:lang w:val="en-US" w:eastAsia="zh-CN"/>
        </w:rPr>
        <w:t>1</w:t>
      </w:r>
      <w:r>
        <w:rPr>
          <w:rFonts w:hint="eastAsia" w:ascii="宋体" w:hAnsi="宋体" w:eastAsia="宋体" w:cs="宋体"/>
          <w:color w:val="auto"/>
          <w:szCs w:val="28"/>
        </w:rPr>
        <w:t>次，每次连续24小时监测。（实际生产建设中按照生态环境主管部门批复的环境影响评价和有关方案要求执行）</w:t>
      </w:r>
    </w:p>
    <w:p w14:paraId="12277B41">
      <w:pPr>
        <w:keepNext w:val="0"/>
        <w:keepLines w:val="0"/>
        <w:pageBreakBefore w:val="0"/>
        <w:widowControl/>
        <w:kinsoku w:val="0"/>
        <w:wordWrap/>
        <w:overflowPunct/>
        <w:topLinePunct w:val="0"/>
        <w:autoSpaceDE w:val="0"/>
        <w:autoSpaceDN w:val="0"/>
        <w:bidi w:val="0"/>
        <w:adjustRightInd w:val="0"/>
        <w:snapToGrid w:val="0"/>
        <w:spacing w:after="0" w:afterLines="50"/>
        <w:ind w:firstLine="562"/>
        <w:textAlignment w:val="baseline"/>
        <w:outlineLvl w:val="0"/>
        <w:rPr>
          <w:rFonts w:ascii="宋体" w:hAnsi="宋体" w:eastAsia="宋体" w:cs="宋体"/>
          <w:b/>
          <w:bCs/>
          <w:color w:val="auto"/>
          <w:szCs w:val="28"/>
        </w:rPr>
      </w:pPr>
      <w:r>
        <w:rPr>
          <w:rFonts w:hint="eastAsia" w:ascii="宋体" w:hAnsi="宋体" w:eastAsia="宋体" w:cs="宋体"/>
          <w:b/>
          <w:bCs/>
          <w:color w:val="auto"/>
          <w:szCs w:val="28"/>
        </w:rPr>
        <w:t>八、矿区土地复垦</w:t>
      </w:r>
    </w:p>
    <w:p w14:paraId="54B1862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1、矿区土地利用现状</w:t>
      </w:r>
    </w:p>
    <w:p w14:paraId="3522EB33">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矿区范围面积</w:t>
      </w:r>
      <w:r>
        <w:rPr>
          <w:rFonts w:hint="eastAsia" w:ascii="宋体" w:hAnsi="宋体" w:eastAsia="宋体" w:cs="宋体"/>
          <w:color w:val="auto"/>
          <w:szCs w:val="28"/>
          <w:lang w:val="en-US" w:eastAsia="zh-CN"/>
        </w:rPr>
        <w:t>20.00</w:t>
      </w:r>
      <w:r>
        <w:rPr>
          <w:rFonts w:hint="eastAsia" w:ascii="宋体" w:hAnsi="宋体" w:eastAsia="宋体" w:cs="宋体"/>
          <w:color w:val="auto"/>
          <w:szCs w:val="28"/>
        </w:rPr>
        <w:t>公顷，</w:t>
      </w:r>
      <w:bookmarkStart w:id="10" w:name="_Hlk100053056"/>
      <w:r>
        <w:rPr>
          <w:rFonts w:hint="eastAsia" w:ascii="宋体" w:hAnsi="宋体" w:eastAsia="宋体" w:cs="宋体"/>
          <w:color w:val="auto"/>
          <w:szCs w:val="28"/>
        </w:rPr>
        <w:t>涉及</w:t>
      </w:r>
      <w:r>
        <w:rPr>
          <w:rFonts w:hint="eastAsia" w:ascii="宋体" w:hAnsi="宋体" w:eastAsia="宋体" w:cs="宋体"/>
          <w:color w:val="auto"/>
          <w:szCs w:val="28"/>
          <w:lang w:val="en-US" w:eastAsia="zh-CN"/>
        </w:rPr>
        <w:t>1</w:t>
      </w:r>
      <w:r>
        <w:rPr>
          <w:rFonts w:hint="eastAsia" w:ascii="宋体" w:hAnsi="宋体" w:eastAsia="宋体" w:cs="宋体"/>
          <w:color w:val="auto"/>
          <w:szCs w:val="28"/>
        </w:rPr>
        <w:t>种土地利用类型</w:t>
      </w:r>
      <w:bookmarkEnd w:id="10"/>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20.00公顷均为其他草地</w:t>
      </w:r>
      <w:r>
        <w:rPr>
          <w:rFonts w:hint="eastAsia" w:ascii="宋体" w:hAnsi="宋体" w:eastAsia="宋体" w:cs="宋体"/>
          <w:color w:val="auto"/>
          <w:szCs w:val="28"/>
        </w:rPr>
        <w:t>。</w:t>
      </w:r>
    </w:p>
    <w:p w14:paraId="315BBB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lang w:eastAsia="zh-CN"/>
        </w:rPr>
        <w:t>察布查尔县诚合建材厂砂石矿位于新疆察布查尔县城164°方位，直线距离约16.2千米处，行政区划隶属新疆维吾尔自治区伊犁哈萨克自治州察布查尔县加尕斯台乡管辖</w:t>
      </w:r>
      <w:r>
        <w:rPr>
          <w:rFonts w:hint="eastAsia" w:ascii="宋体" w:hAnsi="宋体" w:eastAsia="宋体" w:cs="宋体"/>
          <w:color w:val="auto"/>
          <w:szCs w:val="28"/>
        </w:rPr>
        <w:t>，土地权属性质为国有。</w:t>
      </w:r>
    </w:p>
    <w:p w14:paraId="0B074AE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2、</w:t>
      </w:r>
      <w:r>
        <w:rPr>
          <w:rFonts w:ascii="宋体" w:hAnsi="宋体" w:eastAsia="宋体" w:cs="宋体"/>
          <w:color w:val="auto"/>
          <w:szCs w:val="28"/>
        </w:rPr>
        <w:t>土地复垦区与复垦责任范围</w:t>
      </w:r>
    </w:p>
    <w:p w14:paraId="3E79375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本方案复垦区面积</w:t>
      </w:r>
      <w:r>
        <w:rPr>
          <w:rFonts w:hint="eastAsia" w:ascii="宋体" w:hAnsi="宋体" w:eastAsia="宋体" w:cs="宋体"/>
          <w:color w:val="auto"/>
          <w:szCs w:val="28"/>
          <w:lang w:val="en-US" w:eastAsia="zh-CN"/>
        </w:rPr>
        <w:t>20.00</w:t>
      </w:r>
      <w:r>
        <w:rPr>
          <w:rFonts w:hint="eastAsia" w:ascii="宋体" w:hAnsi="宋体" w:eastAsia="宋体" w:cs="宋体"/>
          <w:color w:val="auto"/>
          <w:szCs w:val="28"/>
        </w:rPr>
        <w:t>公顷，包括</w:t>
      </w:r>
      <w:r>
        <w:rPr>
          <w:rFonts w:hint="eastAsia" w:ascii="宋体" w:hAnsi="宋体" w:eastAsia="宋体" w:cs="宋体"/>
          <w:color w:val="auto"/>
          <w:szCs w:val="28"/>
          <w:lang w:val="en-US" w:eastAsia="zh-CN"/>
        </w:rPr>
        <w:t>规划露天采场、矿山道路、工业广场、办公生活区</w:t>
      </w:r>
      <w:r>
        <w:rPr>
          <w:rFonts w:hint="eastAsia" w:ascii="宋体" w:hAnsi="宋体" w:eastAsia="宋体" w:cs="宋体"/>
          <w:color w:val="auto"/>
          <w:szCs w:val="28"/>
        </w:rPr>
        <w:t>最终确定本方案复垦责任范围面积</w:t>
      </w:r>
      <w:bookmarkStart w:id="11" w:name="_Hlk92304225"/>
      <w:r>
        <w:rPr>
          <w:rFonts w:hint="eastAsia" w:ascii="宋体" w:hAnsi="宋体" w:eastAsia="宋体" w:cs="宋体"/>
          <w:color w:val="auto"/>
          <w:szCs w:val="28"/>
        </w:rPr>
        <w:t>为</w:t>
      </w:r>
      <w:bookmarkEnd w:id="11"/>
      <w:r>
        <w:rPr>
          <w:rFonts w:hint="eastAsia" w:ascii="宋体" w:hAnsi="宋体" w:eastAsia="宋体" w:cs="宋体"/>
          <w:color w:val="auto"/>
          <w:szCs w:val="28"/>
          <w:lang w:val="en-US" w:eastAsia="zh-CN"/>
        </w:rPr>
        <w:t>20.00</w:t>
      </w:r>
      <w:r>
        <w:rPr>
          <w:rFonts w:hint="eastAsia" w:ascii="宋体" w:hAnsi="宋体" w:eastAsia="宋体" w:cs="宋体"/>
          <w:color w:val="auto"/>
          <w:szCs w:val="28"/>
        </w:rPr>
        <w:t>公顷，土地复垦率100%。</w:t>
      </w:r>
    </w:p>
    <w:p w14:paraId="0EDFAC1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3</w:t>
      </w:r>
      <w:r>
        <w:rPr>
          <w:rFonts w:hint="eastAsia" w:ascii="宋体" w:hAnsi="宋体" w:eastAsia="宋体" w:cs="宋体"/>
          <w:color w:val="auto"/>
          <w:szCs w:val="28"/>
        </w:rPr>
        <w:t>、矿区土地适宜性评价</w:t>
      </w:r>
    </w:p>
    <w:p w14:paraId="438F2D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本方案复垦适宜性评价范围为复垦责任区，合计面积</w:t>
      </w:r>
      <w:r>
        <w:rPr>
          <w:rFonts w:hint="eastAsia" w:ascii="宋体" w:hAnsi="宋体" w:eastAsia="宋体" w:cs="宋体"/>
          <w:color w:val="auto"/>
          <w:szCs w:val="28"/>
          <w:lang w:val="en-US" w:eastAsia="zh-CN"/>
        </w:rPr>
        <w:t>20.00</w:t>
      </w:r>
      <w:r>
        <w:rPr>
          <w:rFonts w:hint="eastAsia" w:ascii="宋体" w:hAnsi="宋体" w:eastAsia="宋体" w:cs="宋体"/>
          <w:color w:val="auto"/>
          <w:szCs w:val="28"/>
        </w:rPr>
        <w:t>公顷，</w:t>
      </w:r>
      <w:r>
        <w:rPr>
          <w:rFonts w:hint="eastAsia" w:ascii="宋体" w:hAnsi="宋体" w:eastAsia="宋体" w:cs="宋体"/>
          <w:color w:val="auto"/>
          <w:szCs w:val="28"/>
          <w:lang w:val="en-US" w:eastAsia="zh-CN"/>
        </w:rPr>
        <w:t>包规划露天采场、矿山道路、工业广场、办公生活区、规划表土场</w:t>
      </w:r>
      <w:r>
        <w:rPr>
          <w:rFonts w:hint="eastAsia" w:ascii="宋体" w:hAnsi="宋体" w:eastAsia="宋体" w:cs="宋体"/>
          <w:color w:val="auto"/>
          <w:szCs w:val="28"/>
        </w:rPr>
        <w:t>，确定损毁土地的复垦方向以恢复原功能为主，即复垦为</w:t>
      </w:r>
      <w:r>
        <w:rPr>
          <w:rFonts w:hint="eastAsia" w:ascii="宋体" w:hAnsi="宋体" w:eastAsia="宋体" w:cs="宋体"/>
          <w:color w:val="auto"/>
          <w:szCs w:val="28"/>
          <w:lang w:val="en-US" w:eastAsia="zh-CN"/>
        </w:rPr>
        <w:t>其他草地</w:t>
      </w:r>
      <w:r>
        <w:rPr>
          <w:rFonts w:hint="eastAsia" w:ascii="宋体" w:hAnsi="宋体" w:eastAsia="宋体" w:cs="宋体"/>
          <w:color w:val="auto"/>
          <w:szCs w:val="28"/>
        </w:rPr>
        <w:t>。</w:t>
      </w:r>
    </w:p>
    <w:p w14:paraId="752871A5">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4</w:t>
      </w:r>
      <w:r>
        <w:rPr>
          <w:rFonts w:hint="eastAsia" w:ascii="宋体" w:hAnsi="宋体" w:eastAsia="宋体" w:cs="宋体"/>
          <w:color w:val="auto"/>
          <w:szCs w:val="28"/>
        </w:rPr>
        <w:t>、矿区水土资源平衡分析</w:t>
      </w:r>
    </w:p>
    <w:p w14:paraId="783054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rPr>
        <w:t>本项目土地复垦方向为</w:t>
      </w:r>
      <w:r>
        <w:rPr>
          <w:rFonts w:hint="eastAsia" w:ascii="宋体" w:hAnsi="宋体" w:eastAsia="宋体" w:cs="宋体"/>
          <w:color w:val="auto"/>
          <w:szCs w:val="28"/>
          <w:lang w:val="en-US" w:eastAsia="zh-CN"/>
        </w:rPr>
        <w:t>其他草地</w:t>
      </w:r>
      <w:r>
        <w:rPr>
          <w:rFonts w:hint="eastAsia" w:ascii="宋体" w:hAnsi="宋体" w:eastAsia="宋体" w:cs="宋体"/>
          <w:color w:val="auto"/>
          <w:szCs w:val="28"/>
        </w:rPr>
        <w:t>。</w:t>
      </w:r>
    </w:p>
    <w:p w14:paraId="017324B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eastAsia="zh-CN"/>
        </w:rPr>
      </w:pPr>
      <w:r>
        <w:rPr>
          <w:rFonts w:hint="eastAsia" w:ascii="宋体" w:hAnsi="宋体" w:eastAsia="宋体" w:cs="宋体"/>
          <w:color w:val="auto"/>
          <w:szCs w:val="28"/>
          <w:lang w:eastAsia="zh-CN"/>
        </w:rPr>
        <w:t>刚播散草种时应及时灌溉，第一个月为一周浇1次水，共灌溉4次，以后主要依靠天然降水。根据《新疆农业灌溉用水定额指标（2014年）》（DB65/3611-2014）相关灌溉指标，“灌溉用水定额”以作物其他常规田间基本灌溉定额为基数，灌溉定额取2800立方米/公顷。复垦区通过科学合理的灌溉制度和适当的种植结构，充分利用天然降水，完全能够满足复垦区灌溉需要，能够满足灌溉设计保证率的要求。复垦区灌溉水质符合现行国家标准《农田灌溉水质标准》（GB 5084-2021）的规定。</w:t>
      </w:r>
    </w:p>
    <w:p w14:paraId="6FA31E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eastAsia="zh-CN"/>
        </w:rPr>
      </w:pPr>
      <w:r>
        <w:rPr>
          <w:rFonts w:hint="eastAsia" w:ascii="宋体" w:hAnsi="宋体" w:eastAsia="宋体" w:cs="宋体"/>
          <w:color w:val="auto"/>
          <w:szCs w:val="28"/>
          <w:lang w:eastAsia="zh-CN"/>
        </w:rPr>
        <w:t>复垦过程中用水为生活用水及机械用水，复垦工程用水由察布查尔县拉运到矿山。</w:t>
      </w:r>
    </w:p>
    <w:p w14:paraId="684A82A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hint="eastAsia" w:ascii="宋体" w:hAnsi="宋体" w:eastAsia="宋体" w:cs="宋体"/>
          <w:color w:val="auto"/>
          <w:szCs w:val="28"/>
          <w:lang w:eastAsia="zh-CN"/>
        </w:rPr>
        <w:t>因此本项目土地复垦工程可实现水源供需平衡。</w:t>
      </w:r>
    </w:p>
    <w:p w14:paraId="70A11311">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（2）需求分析：本方案主要是挖损的土地需要覆土，复垦方向为其他草地</w:t>
      </w:r>
      <w:r>
        <w:rPr>
          <w:rFonts w:hint="eastAsia" w:ascii="宋体" w:hAnsi="宋体" w:eastAsia="宋体" w:cs="宋体"/>
          <w:color w:val="auto"/>
          <w:szCs w:val="28"/>
          <w:lang w:eastAsia="zh-CN"/>
        </w:rPr>
        <w:t>20.00</w:t>
      </w:r>
      <w:r>
        <w:rPr>
          <w:rFonts w:hint="eastAsia" w:ascii="宋体" w:hAnsi="宋体" w:eastAsia="宋体" w:cs="宋体"/>
          <w:color w:val="auto"/>
          <w:szCs w:val="28"/>
        </w:rPr>
        <w:t>公顷，根据复垦工艺，所需土全部为表土。</w:t>
      </w:r>
    </w:p>
    <w:p w14:paraId="2975D6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需要覆土的区域：规划露天采场</w:t>
      </w:r>
      <w:r>
        <w:rPr>
          <w:rFonts w:hint="eastAsia" w:ascii="宋体" w:hAnsi="宋体" w:eastAsia="宋体" w:cs="宋体"/>
          <w:color w:val="auto"/>
          <w:szCs w:val="28"/>
          <w:lang w:val="en-US" w:eastAsia="zh-CN"/>
        </w:rPr>
        <w:t>20.00</w:t>
      </w:r>
      <w:r>
        <w:rPr>
          <w:rFonts w:hint="eastAsia" w:ascii="宋体" w:hAnsi="宋体" w:eastAsia="宋体" w:cs="宋体"/>
          <w:color w:val="auto"/>
          <w:szCs w:val="28"/>
        </w:rPr>
        <w:t>公顷，计划覆土厚度0.30米，需要表土总量</w:t>
      </w:r>
      <w:r>
        <w:rPr>
          <w:rFonts w:hint="eastAsia" w:ascii="宋体" w:hAnsi="宋体" w:eastAsia="宋体" w:cs="宋体"/>
          <w:color w:val="auto"/>
          <w:szCs w:val="28"/>
          <w:lang w:eastAsia="zh-CN"/>
        </w:rPr>
        <w:t>60000</w:t>
      </w:r>
      <w:r>
        <w:rPr>
          <w:rFonts w:hint="eastAsia" w:ascii="宋体" w:hAnsi="宋体" w:eastAsia="宋体" w:cs="宋体"/>
          <w:color w:val="auto"/>
          <w:szCs w:val="28"/>
        </w:rPr>
        <w:t>立方米。</w:t>
      </w:r>
    </w:p>
    <w:p w14:paraId="75286EEA">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rPr>
      </w:pPr>
      <w:r>
        <w:rPr>
          <w:rFonts w:hint="eastAsia" w:ascii="宋体" w:hAnsi="宋体" w:eastAsia="宋体" w:cs="宋体"/>
          <w:color w:val="auto"/>
          <w:szCs w:val="28"/>
        </w:rPr>
        <w:t>供给分析：矿山计划基建期对规划露天采场表土先进行剥离，堆放至表土堆放场；剥离面积</w:t>
      </w:r>
      <w:r>
        <w:rPr>
          <w:rFonts w:hint="eastAsia" w:ascii="宋体" w:hAnsi="宋体" w:eastAsia="宋体" w:cs="宋体"/>
          <w:color w:val="auto"/>
          <w:szCs w:val="28"/>
          <w:lang w:eastAsia="zh-CN"/>
        </w:rPr>
        <w:t>20.00</w:t>
      </w:r>
      <w:r>
        <w:rPr>
          <w:rFonts w:hint="eastAsia" w:ascii="宋体" w:hAnsi="宋体" w:eastAsia="宋体" w:cs="宋体"/>
          <w:color w:val="auto"/>
          <w:szCs w:val="28"/>
        </w:rPr>
        <w:t>公顷，表土剥离厚度0.30米，剥离总量</w:t>
      </w:r>
      <w:r>
        <w:rPr>
          <w:rFonts w:hint="eastAsia" w:ascii="宋体" w:hAnsi="宋体" w:eastAsia="宋体" w:cs="宋体"/>
          <w:color w:val="auto"/>
          <w:szCs w:val="28"/>
          <w:lang w:eastAsia="zh-CN"/>
        </w:rPr>
        <w:t>60000</w:t>
      </w:r>
      <w:r>
        <w:rPr>
          <w:rFonts w:hint="eastAsia" w:ascii="宋体" w:hAnsi="宋体" w:eastAsia="宋体" w:cs="宋体"/>
          <w:color w:val="auto"/>
          <w:szCs w:val="28"/>
        </w:rPr>
        <w:t>立方米。表土堆放高度1-3米，单层堆放，堆积坡度不大于35º，表土堆放场容积约</w:t>
      </w:r>
      <w:r>
        <w:rPr>
          <w:rFonts w:hint="eastAsia" w:ascii="宋体" w:hAnsi="宋体" w:eastAsia="宋体" w:cs="宋体"/>
          <w:color w:val="auto"/>
          <w:szCs w:val="28"/>
          <w:lang w:val="en-US" w:eastAsia="zh-CN"/>
        </w:rPr>
        <w:t>8</w:t>
      </w:r>
      <w:r>
        <w:rPr>
          <w:rFonts w:hint="eastAsia" w:ascii="宋体" w:hAnsi="宋体" w:eastAsia="宋体" w:cs="宋体"/>
          <w:color w:val="auto"/>
          <w:szCs w:val="28"/>
        </w:rPr>
        <w:t>万立方米，定期对表土场洒水降尘，表土全部用于复垦期上述各单元地表覆土。</w:t>
      </w:r>
    </w:p>
    <w:p w14:paraId="3EE034B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rPr>
        <w:t>由需土量分析和供土量分析可知，复垦区内需土量</w:t>
      </w:r>
      <w:r>
        <w:rPr>
          <w:rFonts w:hint="eastAsia" w:ascii="宋体" w:hAnsi="宋体" w:eastAsia="宋体" w:cs="宋体"/>
          <w:color w:val="auto"/>
          <w:szCs w:val="28"/>
          <w:lang w:eastAsia="zh-CN"/>
        </w:rPr>
        <w:t>60000</w:t>
      </w:r>
      <w:r>
        <w:rPr>
          <w:rFonts w:hint="eastAsia" w:ascii="宋体" w:hAnsi="宋体" w:eastAsia="宋体" w:cs="宋体"/>
          <w:color w:val="auto"/>
          <w:szCs w:val="28"/>
        </w:rPr>
        <w:t>立方米，供土量</w:t>
      </w:r>
      <w:r>
        <w:rPr>
          <w:rFonts w:hint="eastAsia" w:ascii="宋体" w:hAnsi="宋体" w:eastAsia="宋体" w:cs="宋体"/>
          <w:color w:val="auto"/>
          <w:szCs w:val="28"/>
          <w:lang w:eastAsia="zh-CN"/>
        </w:rPr>
        <w:t>60000</w:t>
      </w:r>
      <w:r>
        <w:rPr>
          <w:rFonts w:hint="eastAsia" w:ascii="宋体" w:hAnsi="宋体" w:eastAsia="宋体" w:cs="宋体"/>
          <w:color w:val="auto"/>
          <w:szCs w:val="28"/>
        </w:rPr>
        <w:t>立方米，供土均来自于矿山表土剥离，无差放量，可满足项目区复垦要求。</w:t>
      </w:r>
      <w:r>
        <w:rPr>
          <w:rFonts w:hint="eastAsia" w:ascii="宋体" w:hAnsi="宋体" w:eastAsia="宋体" w:cs="宋体"/>
          <w:color w:val="auto"/>
          <w:szCs w:val="28"/>
          <w:lang w:val="en-US" w:eastAsia="zh-CN"/>
        </w:rPr>
        <w:t xml:space="preserve">        </w:t>
      </w:r>
    </w:p>
    <w:p w14:paraId="1D812176">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5</w:t>
      </w:r>
      <w:r>
        <w:rPr>
          <w:rFonts w:hint="eastAsia" w:ascii="宋体" w:hAnsi="宋体" w:eastAsia="宋体" w:cs="宋体"/>
          <w:color w:val="auto"/>
          <w:szCs w:val="28"/>
        </w:rPr>
        <w:t>、土地复垦工程措施</w:t>
      </w:r>
    </w:p>
    <w:p w14:paraId="5A7F64E4">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bookmarkStart w:id="12" w:name="_Hlk92294388"/>
      <w:r>
        <w:rPr>
          <w:rFonts w:hint="eastAsia" w:ascii="宋体" w:hAnsi="宋体" w:eastAsia="宋体" w:cs="宋体"/>
          <w:color w:val="auto"/>
          <w:szCs w:val="28"/>
        </w:rPr>
        <w:t>土地复垦措施主要包括设施和硬化层拆除清运处置、废石拉运、采坑回填、平整工程</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植被工程、表土剥离</w:t>
      </w:r>
      <w:r>
        <w:rPr>
          <w:rFonts w:hint="eastAsia" w:ascii="宋体" w:hAnsi="宋体" w:eastAsia="宋体" w:cs="宋体"/>
          <w:color w:val="auto"/>
          <w:szCs w:val="28"/>
        </w:rPr>
        <w:t>等。</w:t>
      </w:r>
      <w:bookmarkEnd w:id="12"/>
    </w:p>
    <w:p w14:paraId="5BA9DCD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6</w:t>
      </w:r>
      <w:r>
        <w:rPr>
          <w:rFonts w:hint="eastAsia" w:ascii="宋体" w:hAnsi="宋体" w:eastAsia="宋体" w:cs="宋体"/>
          <w:color w:val="auto"/>
          <w:szCs w:val="28"/>
        </w:rPr>
        <w:t>、土地复垦监测</w:t>
      </w:r>
    </w:p>
    <w:p w14:paraId="6C4FE2A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bookmarkStart w:id="13" w:name="_Hlk92295462"/>
      <w:r>
        <w:rPr>
          <w:rFonts w:hint="eastAsia" w:ascii="宋体" w:hAnsi="宋体" w:eastAsia="宋体" w:cs="宋体"/>
          <w:color w:val="auto"/>
          <w:szCs w:val="28"/>
        </w:rPr>
        <w:t>主要为土地损毁监测</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复垦效果监测、复垦植被恢复效果监测</w:t>
      </w:r>
      <w:r>
        <w:rPr>
          <w:rFonts w:hint="eastAsia" w:ascii="宋体" w:hAnsi="宋体" w:eastAsia="宋体" w:cs="宋体"/>
          <w:color w:val="auto"/>
          <w:szCs w:val="28"/>
        </w:rPr>
        <w:t>。监测成果由矿山企业自行管理，必须派专人长期存档、管理。</w:t>
      </w:r>
      <w:bookmarkEnd w:id="13"/>
    </w:p>
    <w:p w14:paraId="6149FF4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auto"/>
          <w:szCs w:val="28"/>
        </w:rPr>
      </w:pPr>
      <w:r>
        <w:rPr>
          <w:rFonts w:ascii="宋体" w:hAnsi="宋体" w:eastAsia="宋体" w:cs="宋体"/>
          <w:color w:val="auto"/>
          <w:szCs w:val="28"/>
        </w:rPr>
        <w:t>7</w:t>
      </w:r>
      <w:r>
        <w:rPr>
          <w:rFonts w:hint="eastAsia" w:ascii="宋体" w:hAnsi="宋体" w:eastAsia="宋体" w:cs="宋体"/>
          <w:color w:val="auto"/>
          <w:szCs w:val="28"/>
        </w:rPr>
        <w:t>、土地复垦实施年限</w:t>
      </w:r>
    </w:p>
    <w:p w14:paraId="7F0FD48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本矿山为延续变更矿山，无基建期，设计服务年限为2.40年，计划开采时间为2025年3月-2027年7月；计划复垦施工期为0.5年及管护期3年，计划复垦管护时间为2027年8月-2031年1月。故确定《本方案》适用年限约5.90年（5年11个月），即2025年3月-2031年1月。</w:t>
      </w:r>
    </w:p>
    <w:p w14:paraId="7AEDFAD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auto"/>
          <w:szCs w:val="28"/>
          <w:lang w:val="en-US" w:eastAsia="zh-CN"/>
        </w:rPr>
        <w:t>因本方案服务年限为5.90年。2030年3月需对本《方案》生态保护修复部分有关内容进行修编</w:t>
      </w:r>
      <w:r>
        <w:rPr>
          <w:rFonts w:hint="eastAsia" w:ascii="宋体" w:hAnsi="宋体" w:eastAsia="宋体" w:cs="宋体"/>
          <w:color w:val="000000" w:themeColor="text1"/>
          <w:szCs w:val="28"/>
          <w:lang w:val="en-US" w:eastAsia="zh-CN"/>
          <w14:textFill>
            <w14:solidFill>
              <w14:schemeClr w14:val="tx1"/>
            </w14:solidFill>
          </w14:textFill>
        </w:rPr>
        <w:t>。</w:t>
      </w:r>
    </w:p>
    <w:p w14:paraId="78EB4C6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宋体" w:hAnsi="宋体" w:eastAsia="宋体" w:cs="宋体"/>
          <w:color w:val="000000" w:themeColor="text1"/>
          <w:szCs w:val="28"/>
          <w14:textFill>
            <w14:solidFill>
              <w14:schemeClr w14:val="tx1"/>
            </w14:solidFill>
          </w14:textFill>
        </w:rPr>
      </w:pPr>
      <w:r>
        <w:rPr>
          <w:rFonts w:ascii="宋体" w:hAnsi="宋体" w:eastAsia="宋体" w:cs="宋体"/>
          <w:color w:val="000000" w:themeColor="text1"/>
          <w:szCs w:val="28"/>
          <w14:textFill>
            <w14:solidFill>
              <w14:schemeClr w14:val="tx1"/>
            </w14:solidFill>
          </w14:textFill>
        </w:rPr>
        <w:t>8</w:t>
      </w:r>
      <w:r>
        <w:rPr>
          <w:rFonts w:hint="eastAsia" w:ascii="宋体" w:hAnsi="宋体" w:eastAsia="宋体" w:cs="宋体"/>
          <w:color w:val="000000" w:themeColor="text1"/>
          <w:szCs w:val="28"/>
          <w14:textFill>
            <w14:solidFill>
              <w14:schemeClr w14:val="tx1"/>
            </w14:solidFill>
          </w14:textFill>
        </w:rPr>
        <w:t>、土地复垦阶段工作安排</w:t>
      </w:r>
    </w:p>
    <w:p w14:paraId="6869E0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矿山生产期主要进行土地损毁监测，待矿山闭矿后立即全面开展土地复垦工程。因此分</w:t>
      </w:r>
      <w:r>
        <w:rPr>
          <w:rFonts w:hint="eastAsia" w:ascii="宋体" w:hAnsi="宋体" w:eastAsia="宋体" w:cs="宋体"/>
          <w:color w:val="000000" w:themeColor="text1"/>
          <w:szCs w:val="28"/>
          <w:lang w:val="en-US" w:eastAsia="zh-CN"/>
          <w14:textFill>
            <w14:solidFill>
              <w14:schemeClr w14:val="tx1"/>
            </w14:solidFill>
          </w14:textFill>
        </w:rPr>
        <w:t>两</w:t>
      </w:r>
      <w:r>
        <w:rPr>
          <w:rFonts w:hint="eastAsia" w:ascii="宋体" w:hAnsi="宋体" w:eastAsia="宋体" w:cs="宋体"/>
          <w:color w:val="000000" w:themeColor="text1"/>
          <w:szCs w:val="28"/>
          <w14:textFill>
            <w14:solidFill>
              <w14:schemeClr w14:val="tx1"/>
            </w14:solidFill>
          </w14:textFill>
        </w:rPr>
        <w:t>个阶段进行工作安排，即第一阶段</w:t>
      </w:r>
      <w:bookmarkStart w:id="14" w:name="_Hlk84521096"/>
      <w:r>
        <w:rPr>
          <w:rFonts w:hint="eastAsia" w:ascii="宋体" w:hAnsi="宋体" w:eastAsia="宋体" w:cs="宋体"/>
          <w:color w:val="000000" w:themeColor="text1"/>
          <w:szCs w:val="28"/>
          <w14:textFill>
            <w14:solidFill>
              <w14:schemeClr w14:val="tx1"/>
            </w14:solidFill>
          </w14:textFill>
        </w:rPr>
        <w:t>自2025年3月-2027年7月，为矿山生产服务期，主要</w:t>
      </w:r>
      <w:r>
        <w:rPr>
          <w:rFonts w:hint="eastAsia" w:ascii="宋体" w:hAnsi="宋体" w:eastAsia="宋体" w:cs="宋体"/>
          <w:color w:val="000000" w:themeColor="text1"/>
          <w:szCs w:val="28"/>
          <w:lang w:val="en-US" w:eastAsia="zh-CN"/>
          <w14:textFill>
            <w14:solidFill>
              <w14:schemeClr w14:val="tx1"/>
            </w14:solidFill>
          </w14:textFill>
        </w:rPr>
        <w:t>完成基建工作，</w:t>
      </w:r>
      <w:r>
        <w:rPr>
          <w:rFonts w:hint="eastAsia" w:ascii="宋体" w:hAnsi="宋体" w:eastAsia="宋体" w:cs="宋体"/>
          <w:color w:val="000000" w:themeColor="text1"/>
          <w:szCs w:val="28"/>
          <w14:textFill>
            <w14:solidFill>
              <w14:schemeClr w14:val="tx1"/>
            </w14:solidFill>
          </w14:textFill>
        </w:rPr>
        <w:t>对各复垦单元进行土地损毁监测</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lang w:val="en-US" w:eastAsia="zh-CN"/>
          <w14:textFill>
            <w14:solidFill>
              <w14:schemeClr w14:val="tx1"/>
            </w14:solidFill>
          </w14:textFill>
        </w:rPr>
        <w:t>进行场地平整</w:t>
      </w:r>
      <w:r>
        <w:rPr>
          <w:rFonts w:hint="eastAsia" w:ascii="宋体" w:hAnsi="宋体" w:eastAsia="宋体" w:cs="宋体"/>
          <w:color w:val="000000" w:themeColor="text1"/>
          <w:szCs w:val="28"/>
          <w14:textFill>
            <w14:solidFill>
              <w14:schemeClr w14:val="tx1"/>
            </w14:solidFill>
          </w14:textFill>
        </w:rPr>
        <w:t>；第二阶段</w:t>
      </w:r>
      <w:r>
        <w:rPr>
          <w:rFonts w:hint="eastAsia" w:ascii="宋体" w:hAnsi="宋体" w:eastAsia="宋体" w:cs="宋体"/>
          <w:color w:val="auto"/>
          <w:szCs w:val="28"/>
          <w:lang w:val="en-US" w:eastAsia="zh-CN"/>
        </w:rPr>
        <w:t>2027年8月-2031年1月</w:t>
      </w:r>
      <w:r>
        <w:rPr>
          <w:rFonts w:hint="eastAsia" w:ascii="宋体" w:hAnsi="宋体" w:eastAsia="宋体" w:cs="宋体"/>
          <w:color w:val="000000" w:themeColor="text1"/>
          <w:szCs w:val="28"/>
          <w14:textFill>
            <w14:solidFill>
              <w14:schemeClr w14:val="tx1"/>
            </w14:solidFill>
          </w14:textFill>
        </w:rPr>
        <w:t>，为矿山</w:t>
      </w:r>
      <w:r>
        <w:rPr>
          <w:rFonts w:hint="eastAsia" w:ascii="宋体" w:hAnsi="宋体" w:eastAsia="宋体" w:cs="宋体"/>
          <w:color w:val="000000" w:themeColor="text1"/>
          <w:szCs w:val="28"/>
          <w:lang w:val="en-US" w:eastAsia="zh-CN"/>
          <w14:textFill>
            <w14:solidFill>
              <w14:schemeClr w14:val="tx1"/>
            </w14:solidFill>
          </w14:textFill>
        </w:rPr>
        <w:t>复垦期</w:t>
      </w:r>
      <w:bookmarkEnd w:id="14"/>
      <w:r>
        <w:rPr>
          <w:rFonts w:hint="eastAsia" w:ascii="宋体" w:hAnsi="宋体" w:eastAsia="宋体" w:cs="宋体"/>
          <w:color w:val="000000" w:themeColor="text1"/>
          <w:szCs w:val="28"/>
          <w:lang w:val="en-US" w:eastAsia="zh-CN"/>
          <w14:textFill>
            <w14:solidFill>
              <w14:schemeClr w14:val="tx1"/>
            </w14:solidFill>
          </w14:textFill>
        </w:rPr>
        <w:t>管护期</w:t>
      </w:r>
      <w:r>
        <w:rPr>
          <w:rFonts w:hint="eastAsia" w:ascii="宋体" w:hAnsi="宋体" w:eastAsia="宋体" w:cs="宋体"/>
          <w:color w:val="000000" w:themeColor="text1"/>
          <w:szCs w:val="28"/>
          <w14:textFill>
            <w14:solidFill>
              <w14:schemeClr w14:val="tx1"/>
            </w14:solidFill>
          </w14:textFill>
        </w:rPr>
        <w:t>，继续对损毁区域进行土地损毁监测，</w:t>
      </w:r>
      <w:r>
        <w:rPr>
          <w:rFonts w:hint="eastAsia" w:ascii="宋体" w:hAnsi="宋体" w:eastAsia="宋体" w:cs="宋体"/>
          <w:color w:val="000000" w:themeColor="text1"/>
          <w:szCs w:val="28"/>
          <w:lang w:val="en-US" w:eastAsia="zh-CN"/>
          <w14:textFill>
            <w14:solidFill>
              <w14:schemeClr w14:val="tx1"/>
            </w14:solidFill>
          </w14:textFill>
        </w:rPr>
        <w:t>复垦</w:t>
      </w:r>
      <w:r>
        <w:rPr>
          <w:rFonts w:hint="eastAsia" w:ascii="宋体" w:hAnsi="宋体" w:eastAsia="宋体" w:cs="宋体"/>
          <w:color w:val="000000" w:themeColor="text1"/>
          <w:szCs w:val="28"/>
          <w14:textFill>
            <w14:solidFill>
              <w14:schemeClr w14:val="tx1"/>
            </w14:solidFill>
          </w14:textFill>
        </w:rPr>
        <w:t>期对损毁区域采取砌体拆除、土地平整等措施。</w:t>
      </w:r>
    </w:p>
    <w:p w14:paraId="3DD148D8">
      <w:pPr>
        <w:keepNext w:val="0"/>
        <w:keepLines w:val="0"/>
        <w:pageBreakBefore w:val="0"/>
        <w:widowControl/>
        <w:kinsoku w:val="0"/>
        <w:wordWrap/>
        <w:overflowPunct/>
        <w:topLinePunct w:val="0"/>
        <w:autoSpaceDE w:val="0"/>
        <w:autoSpaceDN w:val="0"/>
        <w:bidi w:val="0"/>
        <w:adjustRightInd w:val="0"/>
        <w:snapToGrid w:val="0"/>
        <w:spacing w:after="0" w:afterLines="50"/>
        <w:ind w:firstLine="562"/>
        <w:textAlignment w:val="baseline"/>
        <w:outlineLvl w:val="0"/>
        <w:rPr>
          <w:rFonts w:hint="eastAsia"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九、技术经济指标</w:t>
      </w:r>
    </w:p>
    <w:p w14:paraId="62E1F16B">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开发利用方案依据的地质资料可靠，矿山开采条件及其他外部条件好，设计采用的开采方式、开拓运输方案、采剥方法及开采工艺符合矿山实际，合理可行。矿山建成后有较好的经济效益和社会效益。</w:t>
      </w:r>
    </w:p>
    <w:p w14:paraId="52CAB070">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本矿山地质环境保护与土地复垦工程静态总投资212.95万元，动态总投资225.75万元。其中矿山地质环境保护和治理工程静态总投资估算费用约13.08万元，动态投资16.88万元；土地复垦工程静态总投资为199.87万元，动态投资208.87万元。</w:t>
      </w:r>
    </w:p>
    <w:p w14:paraId="7C33BF13">
      <w:pPr>
        <w:keepNext w:val="0"/>
        <w:keepLines w:val="0"/>
        <w:pageBreakBefore w:val="0"/>
        <w:widowControl/>
        <w:kinsoku w:val="0"/>
        <w:wordWrap/>
        <w:overflowPunct/>
        <w:topLinePunct w:val="0"/>
        <w:autoSpaceDE w:val="0"/>
        <w:autoSpaceDN w:val="0"/>
        <w:bidi w:val="0"/>
        <w:adjustRightInd w:val="0"/>
        <w:snapToGrid w:val="0"/>
        <w:spacing w:after="0" w:afterLines="50"/>
        <w:ind w:firstLine="562"/>
        <w:textAlignment w:val="baseline"/>
        <w:outlineLvl w:val="0"/>
        <w:rPr>
          <w:rFonts w:ascii="宋体" w:hAnsi="宋体" w:eastAsia="宋体" w:cs="宋体"/>
          <w:b/>
          <w:bCs/>
          <w:color w:val="000000" w:themeColor="text1"/>
          <w:szCs w:val="28"/>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t>十、存在的问题及建议</w:t>
      </w:r>
    </w:p>
    <w:p w14:paraId="007BA0FE">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1、建议变更生产规模为30.00万立方米/年。</w:t>
      </w:r>
    </w:p>
    <w:p w14:paraId="59303337">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2</w:t>
      </w:r>
      <w:r>
        <w:rPr>
          <w:rFonts w:hint="eastAsia" w:ascii="宋体" w:hAnsi="宋体" w:eastAsia="宋体" w:cs="宋体"/>
          <w:color w:val="000000" w:themeColor="text1"/>
          <w:szCs w:val="28"/>
          <w14:textFill>
            <w14:solidFill>
              <w14:schemeClr w14:val="tx1"/>
            </w14:solidFill>
          </w14:textFill>
        </w:rPr>
        <w:t>、在矿山开采过程中，严格按照开发利用设计的方法开采，开采中尽可能减少固体废弃物的排放，这样既能改善矿山环境，又可为今后的集中治理节约财力、物力，从而达到矿业开发与矿山环境保护和谐发展的目的。</w:t>
      </w:r>
    </w:p>
    <w:p w14:paraId="316A2069">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3</w:t>
      </w:r>
      <w:r>
        <w:rPr>
          <w:rFonts w:hint="eastAsia" w:ascii="宋体" w:hAnsi="宋体" w:eastAsia="宋体" w:cs="宋体"/>
          <w:color w:val="000000" w:themeColor="text1"/>
          <w:szCs w:val="28"/>
          <w14:textFill>
            <w14:solidFill>
              <w14:schemeClr w14:val="tx1"/>
            </w14:solidFill>
          </w14:textFill>
        </w:rPr>
        <w:t>、矿山开采过程中，尽量减少对水土环境污染，及时恢复损毁用地的土地功能。严格按照相关规范要求，尽量减少废污水的产生。</w:t>
      </w:r>
    </w:p>
    <w:p w14:paraId="627030D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4</w:t>
      </w:r>
      <w:r>
        <w:rPr>
          <w:rFonts w:hint="eastAsia" w:ascii="宋体" w:hAnsi="宋体" w:eastAsia="宋体" w:cs="宋体"/>
          <w:color w:val="000000" w:themeColor="text1"/>
          <w:szCs w:val="28"/>
          <w14:textFill>
            <w14:solidFill>
              <w14:schemeClr w14:val="tx1"/>
            </w14:solidFill>
          </w14:textFill>
        </w:rPr>
        <w:t>、矿山工作人员在日常巡视过程中，对铁丝网围栏、警示牌等进行监测，损坏及时进行修补及更换。按方案设计对含水层、地形地貌及水土环境污染进行监测，发现问题及时上报并处理。</w:t>
      </w:r>
    </w:p>
    <w:p w14:paraId="2BA027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5</w:t>
      </w:r>
      <w:r>
        <w:rPr>
          <w:rFonts w:hint="eastAsia" w:ascii="宋体" w:hAnsi="宋体" w:eastAsia="宋体" w:cs="宋体"/>
          <w:color w:val="000000" w:themeColor="text1"/>
          <w:szCs w:val="28"/>
          <w14:textFill>
            <w14:solidFill>
              <w14:schemeClr w14:val="tx1"/>
            </w14:solidFill>
          </w14:textFill>
        </w:rPr>
        <w:t>、本方案设计工程量及投资仅为初步估算，具体实施时应请有资质单位按各项相关工程的设计规定进行设计、施工，并验收合格后投入使用。考虑到未来情况的多变性、物价涨幅等情况，对于方案设计投资估算仅供参考。</w:t>
      </w:r>
    </w:p>
    <w:p w14:paraId="64036429">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6</w:t>
      </w:r>
      <w:r>
        <w:rPr>
          <w:rFonts w:hint="eastAsia" w:ascii="宋体" w:hAnsi="宋体" w:eastAsia="宋体" w:cs="宋体"/>
          <w:color w:val="000000" w:themeColor="text1"/>
          <w:szCs w:val="28"/>
          <w14:textFill>
            <w14:solidFill>
              <w14:schemeClr w14:val="tx1"/>
            </w14:solidFill>
          </w14:textFill>
        </w:rPr>
        <w:t>、本方案中设计的治理措施在矿山企业实施后，可防治地质灾害，在不可控因素下可能发生地表变形等次生灾害；应按本方案要求，认真组织落实，配合当地行政主管部门，做好方案实施的监理、监测和监督工作，严格执行工程监理制度，对各类措施的实施进度、质量和资金使用情况进行监督管理，以保证工程质量。</w:t>
      </w:r>
    </w:p>
    <w:p w14:paraId="62DC0002">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7</w:t>
      </w:r>
      <w:r>
        <w:rPr>
          <w:rFonts w:hint="eastAsia" w:ascii="宋体" w:hAnsi="宋体" w:eastAsia="宋体" w:cs="宋体"/>
          <w:color w:val="000000" w:themeColor="text1"/>
          <w:szCs w:val="28"/>
          <w14:textFill>
            <w14:solidFill>
              <w14:schemeClr w14:val="tx1"/>
            </w14:solidFill>
          </w14:textFill>
        </w:rPr>
        <w:t>、在方案适用期内，若矿山范围变更、开采规模及开采方式有变动时，应重新编写治理方案。进行下一个规划期方案编制时，要对矿山人文、社会及环境情况重新进行调查，确保方案数据的准确性。</w:t>
      </w:r>
    </w:p>
    <w:p w14:paraId="0AA5FB48">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8</w:t>
      </w:r>
      <w:r>
        <w:rPr>
          <w:rFonts w:hint="eastAsia" w:ascii="宋体" w:hAnsi="宋体" w:eastAsia="宋体" w:cs="宋体"/>
          <w:color w:val="000000" w:themeColor="text1"/>
          <w:szCs w:val="28"/>
          <w14:textFill>
            <w14:solidFill>
              <w14:schemeClr w14:val="tx1"/>
            </w14:solidFill>
          </w14:textFill>
        </w:rPr>
        <w:t>、矿山地质环境治理与土地复垦工程的投入所占企业年利润比重偏高，会对企业总体利润构成较大影响，地质环境治理与土地复垦工程经济上可行性风险较大。矿山企业应控制开采成本，提高产品质量，开拓市场，提高产品价格，增加营业收入，达到地质环境治理与土地复垦工程经济上的可行性。</w:t>
      </w:r>
    </w:p>
    <w:p w14:paraId="6C36290D">
      <w:pPr>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9</w:t>
      </w:r>
      <w:r>
        <w:rPr>
          <w:rFonts w:hint="eastAsia" w:ascii="宋体" w:hAnsi="宋体" w:eastAsia="宋体" w:cs="宋体"/>
          <w:color w:val="000000" w:themeColor="text1"/>
          <w:szCs w:val="28"/>
          <w14:textFill>
            <w14:solidFill>
              <w14:schemeClr w14:val="tx1"/>
            </w14:solidFill>
          </w14:textFill>
        </w:rPr>
        <w:t>、本方案不代替矿山初步设计、地质环境治理及土地复垦工程设计，建议进行工程治理时，委托相关单位对本矿山地质环境进行专项工程勘查、设计。</w:t>
      </w:r>
    </w:p>
    <w:p w14:paraId="1B4EBCB0">
      <w:pPr>
        <w:ind w:left="0" w:leftChars="0" w:firstLine="0" w:firstLineChars="0"/>
      </w:pPr>
    </w:p>
    <w:p w14:paraId="685C115B">
      <w:pPr>
        <w:ind w:left="0" w:leftChars="0" w:firstLine="0" w:firstLineChars="0"/>
      </w:pPr>
    </w:p>
    <w:p w14:paraId="79AE231C">
      <w:pPr>
        <w:ind w:left="0" w:leftChars="0" w:firstLine="0" w:firstLineChars="0"/>
      </w:pPr>
    </w:p>
    <w:p w14:paraId="75491C87">
      <w:pPr>
        <w:ind w:left="0" w:leftChars="0" w:firstLine="0" w:firstLineChars="0"/>
      </w:pPr>
    </w:p>
    <w:p w14:paraId="6F23B31F">
      <w:pPr>
        <w:ind w:firstLine="56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附件：《</w:t>
      </w:r>
      <w:r>
        <w:rPr>
          <w:rFonts w:hint="eastAsia" w:ascii="宋体" w:hAnsi="宋体" w:eastAsia="宋体" w:cs="宋体"/>
          <w:color w:val="000000" w:themeColor="text1"/>
          <w:szCs w:val="28"/>
          <w:lang w:eastAsia="zh-CN"/>
          <w14:textFill>
            <w14:solidFill>
              <w14:schemeClr w14:val="tx1"/>
            </w14:solidFill>
          </w14:textFill>
        </w:rPr>
        <w:t>察布查尔锡伯自治县诚合建材厂砂石矿</w:t>
      </w:r>
      <w:r>
        <w:rPr>
          <w:rFonts w:hint="eastAsia" w:ascii="宋体" w:hAnsi="宋体" w:eastAsia="宋体" w:cs="宋体"/>
          <w:color w:val="000000" w:themeColor="text1"/>
          <w:szCs w:val="28"/>
          <w14:textFill>
            <w14:solidFill>
              <w14:schemeClr w14:val="tx1"/>
            </w14:solidFill>
          </w14:textFill>
        </w:rPr>
        <w:t>矿产资源开发利用与生态保护修复方案》评审专家组名单</w:t>
      </w:r>
    </w:p>
    <w:p w14:paraId="3F841D95">
      <w:pPr>
        <w:ind w:firstLine="3500" w:firstLineChars="1250"/>
        <w:rPr>
          <w:rFonts w:ascii="宋体" w:hAnsi="宋体" w:eastAsia="宋体" w:cs="宋体"/>
          <w:color w:val="000000" w:themeColor="text1"/>
          <w:szCs w:val="28"/>
          <w14:textFill>
            <w14:solidFill>
              <w14:schemeClr w14:val="tx1"/>
            </w14:solidFill>
          </w14:textFill>
        </w:rPr>
        <w:sectPr>
          <w:headerReference r:id="rId5" w:type="default"/>
          <w:footerReference r:id="rId6" w:type="default"/>
          <w:pgSz w:w="11907" w:h="16839"/>
          <w:pgMar w:top="1421" w:right="1414" w:bottom="1341" w:left="1428" w:header="0" w:footer="1147" w:gutter="0"/>
          <w:cols w:space="720" w:num="1"/>
        </w:sectPr>
      </w:pPr>
    </w:p>
    <w:p w14:paraId="522832DD">
      <w:pPr>
        <w:ind w:left="0" w:leftChars="0"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评审专家组成员名单</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26"/>
        <w:gridCol w:w="1929"/>
        <w:gridCol w:w="2220"/>
        <w:gridCol w:w="2010"/>
      </w:tblGrid>
      <w:tr w14:paraId="2FA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34" w:type="dxa"/>
            <w:vAlign w:val="center"/>
          </w:tcPr>
          <w:p w14:paraId="58085FAC">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姓  名</w:t>
            </w:r>
          </w:p>
        </w:tc>
        <w:tc>
          <w:tcPr>
            <w:tcW w:w="2126" w:type="dxa"/>
            <w:vAlign w:val="center"/>
          </w:tcPr>
          <w:p w14:paraId="4CAFEA94">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专家组成员</w:t>
            </w:r>
          </w:p>
        </w:tc>
        <w:tc>
          <w:tcPr>
            <w:tcW w:w="1929" w:type="dxa"/>
            <w:vAlign w:val="center"/>
          </w:tcPr>
          <w:p w14:paraId="40976BAB">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snapToGrid/>
                <w:color w:val="000000" w:themeColor="text1"/>
                <w:kern w:val="2"/>
                <w:sz w:val="24"/>
                <w:szCs w:val="24"/>
                <w14:textFill>
                  <w14:solidFill>
                    <w14:schemeClr w14:val="tx1"/>
                  </w14:solidFill>
                </w14:textFill>
              </w:rPr>
              <w:t xml:space="preserve">  业</w:t>
            </w:r>
          </w:p>
        </w:tc>
        <w:tc>
          <w:tcPr>
            <w:tcW w:w="2220" w:type="dxa"/>
            <w:vAlign w:val="center"/>
          </w:tcPr>
          <w:p w14:paraId="61695C73">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技术职称</w:t>
            </w:r>
          </w:p>
        </w:tc>
        <w:tc>
          <w:tcPr>
            <w:tcW w:w="2010" w:type="dxa"/>
            <w:vAlign w:val="center"/>
          </w:tcPr>
          <w:p w14:paraId="1F188F6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kern w:val="2"/>
                <w:sz w:val="24"/>
                <w:szCs w:val="24"/>
                <w:lang w:val="en-US"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签名</w:t>
            </w:r>
          </w:p>
        </w:tc>
      </w:tr>
      <w:tr w14:paraId="5B19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34" w:type="dxa"/>
            <w:vAlign w:val="center"/>
          </w:tcPr>
          <w:p w14:paraId="76CEF700">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王天山</w:t>
            </w:r>
          </w:p>
        </w:tc>
        <w:tc>
          <w:tcPr>
            <w:tcW w:w="2126" w:type="dxa"/>
            <w:vAlign w:val="center"/>
          </w:tcPr>
          <w:p w14:paraId="3254501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组    长</w:t>
            </w:r>
          </w:p>
        </w:tc>
        <w:tc>
          <w:tcPr>
            <w:tcW w:w="1929" w:type="dxa"/>
            <w:vAlign w:val="center"/>
          </w:tcPr>
          <w:p w14:paraId="01A83B8F">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采矿工程</w:t>
            </w:r>
          </w:p>
        </w:tc>
        <w:tc>
          <w:tcPr>
            <w:tcW w:w="2220" w:type="dxa"/>
            <w:vAlign w:val="center"/>
          </w:tcPr>
          <w:p w14:paraId="42113674">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教授级高级工程师</w:t>
            </w:r>
          </w:p>
        </w:tc>
        <w:tc>
          <w:tcPr>
            <w:tcW w:w="2010" w:type="dxa"/>
            <w:vAlign w:val="center"/>
          </w:tcPr>
          <w:p w14:paraId="07C9637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133350</wp:posOffset>
                  </wp:positionH>
                  <wp:positionV relativeFrom="paragraph">
                    <wp:posOffset>31115</wp:posOffset>
                  </wp:positionV>
                  <wp:extent cx="796925" cy="404495"/>
                  <wp:effectExtent l="0" t="0" r="10795"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796925" cy="404495"/>
                          </a:xfrm>
                          <a:prstGeom prst="rect">
                            <a:avLst/>
                          </a:prstGeom>
                          <a:noFill/>
                          <a:ln>
                            <a:noFill/>
                          </a:ln>
                        </pic:spPr>
                      </pic:pic>
                    </a:graphicData>
                  </a:graphic>
                </wp:anchor>
              </w:drawing>
            </w:r>
          </w:p>
        </w:tc>
      </w:tr>
      <w:tr w14:paraId="308A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1434" w:type="dxa"/>
            <w:vAlign w:val="center"/>
          </w:tcPr>
          <w:p w14:paraId="63F02D95">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 xml:space="preserve">王军    </w:t>
            </w:r>
          </w:p>
        </w:tc>
        <w:tc>
          <w:tcPr>
            <w:tcW w:w="2126" w:type="dxa"/>
            <w:vAlign w:val="center"/>
          </w:tcPr>
          <w:p w14:paraId="1F57BE5E">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5B239071">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地质矿产</w:t>
            </w:r>
          </w:p>
        </w:tc>
        <w:tc>
          <w:tcPr>
            <w:tcW w:w="2220" w:type="dxa"/>
            <w:vAlign w:val="center"/>
          </w:tcPr>
          <w:p w14:paraId="2865FCC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c>
          <w:tcPr>
            <w:tcW w:w="2010" w:type="dxa"/>
            <w:vAlign w:val="center"/>
          </w:tcPr>
          <w:p w14:paraId="555EE90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295275</wp:posOffset>
                  </wp:positionH>
                  <wp:positionV relativeFrom="paragraph">
                    <wp:posOffset>22225</wp:posOffset>
                  </wp:positionV>
                  <wp:extent cx="589280" cy="448310"/>
                  <wp:effectExtent l="0" t="0" r="5080" b="8890"/>
                  <wp:wrapNone/>
                  <wp:docPr id="1" name="图片 1" descr="王总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总签名"/>
                          <pic:cNvPicPr>
                            <a:picLocks noChangeAspect="1"/>
                          </pic:cNvPicPr>
                        </pic:nvPicPr>
                        <pic:blipFill>
                          <a:blip r:embed="rId9"/>
                          <a:stretch>
                            <a:fillRect/>
                          </a:stretch>
                        </pic:blipFill>
                        <pic:spPr>
                          <a:xfrm>
                            <a:off x="0" y="0"/>
                            <a:ext cx="589280" cy="448310"/>
                          </a:xfrm>
                          <a:prstGeom prst="rect">
                            <a:avLst/>
                          </a:prstGeom>
                        </pic:spPr>
                      </pic:pic>
                    </a:graphicData>
                  </a:graphic>
                </wp:anchor>
              </w:drawing>
            </w:r>
          </w:p>
        </w:tc>
      </w:tr>
      <w:tr w14:paraId="407F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434" w:type="dxa"/>
            <w:vAlign w:val="center"/>
          </w:tcPr>
          <w:p w14:paraId="70E645E7">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康小丁</w:t>
            </w:r>
          </w:p>
        </w:tc>
        <w:tc>
          <w:tcPr>
            <w:tcW w:w="2126" w:type="dxa"/>
            <w:vAlign w:val="center"/>
          </w:tcPr>
          <w:p w14:paraId="6B0FD56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7E85DB9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水 工 环</w:t>
            </w:r>
          </w:p>
        </w:tc>
        <w:tc>
          <w:tcPr>
            <w:tcW w:w="2220" w:type="dxa"/>
            <w:vAlign w:val="center"/>
          </w:tcPr>
          <w:p w14:paraId="7407E21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c>
          <w:tcPr>
            <w:tcW w:w="2010" w:type="dxa"/>
            <w:vAlign w:val="center"/>
          </w:tcPr>
          <w:p w14:paraId="03134AE4">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108585</wp:posOffset>
                  </wp:positionH>
                  <wp:positionV relativeFrom="paragraph">
                    <wp:posOffset>41275</wp:posOffset>
                  </wp:positionV>
                  <wp:extent cx="853440" cy="480695"/>
                  <wp:effectExtent l="0" t="0" r="0"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53440" cy="480695"/>
                          </a:xfrm>
                          <a:prstGeom prst="rect">
                            <a:avLst/>
                          </a:prstGeom>
                          <a:noFill/>
                          <a:ln>
                            <a:noFill/>
                          </a:ln>
                        </pic:spPr>
                      </pic:pic>
                    </a:graphicData>
                  </a:graphic>
                </wp:anchor>
              </w:drawing>
            </w:r>
          </w:p>
        </w:tc>
      </w:tr>
      <w:tr w14:paraId="025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434" w:type="dxa"/>
            <w:vAlign w:val="center"/>
          </w:tcPr>
          <w:p w14:paraId="11F4B0CA">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齐瑾辉</w:t>
            </w:r>
          </w:p>
        </w:tc>
        <w:tc>
          <w:tcPr>
            <w:tcW w:w="2126" w:type="dxa"/>
            <w:vAlign w:val="center"/>
          </w:tcPr>
          <w:p w14:paraId="60D728D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305A294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土地复垦</w:t>
            </w:r>
          </w:p>
        </w:tc>
        <w:tc>
          <w:tcPr>
            <w:tcW w:w="2220" w:type="dxa"/>
            <w:vAlign w:val="center"/>
          </w:tcPr>
          <w:p w14:paraId="08BFAC24">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c>
          <w:tcPr>
            <w:tcW w:w="2010" w:type="dxa"/>
            <w:vAlign w:val="center"/>
          </w:tcPr>
          <w:p w14:paraId="5CEA788E">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-41275</wp:posOffset>
                  </wp:positionH>
                  <wp:positionV relativeFrom="paragraph">
                    <wp:posOffset>-20320</wp:posOffset>
                  </wp:positionV>
                  <wp:extent cx="1064260" cy="486410"/>
                  <wp:effectExtent l="0" t="0" r="2540" b="1270"/>
                  <wp:wrapNone/>
                  <wp:docPr id="42" name="图片 42" descr="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齐"/>
                          <pic:cNvPicPr>
                            <a:picLocks noChangeAspect="1"/>
                          </pic:cNvPicPr>
                        </pic:nvPicPr>
                        <pic:blipFill>
                          <a:blip r:embed="rId11"/>
                          <a:stretch>
                            <a:fillRect/>
                          </a:stretch>
                        </pic:blipFill>
                        <pic:spPr>
                          <a:xfrm>
                            <a:off x="0" y="0"/>
                            <a:ext cx="1064260" cy="486410"/>
                          </a:xfrm>
                          <a:prstGeom prst="rect">
                            <a:avLst/>
                          </a:prstGeom>
                        </pic:spPr>
                      </pic:pic>
                    </a:graphicData>
                  </a:graphic>
                </wp:anchor>
              </w:drawing>
            </w:r>
          </w:p>
        </w:tc>
      </w:tr>
      <w:tr w14:paraId="7629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1434" w:type="dxa"/>
            <w:vAlign w:val="center"/>
          </w:tcPr>
          <w:p w14:paraId="7E5BEBAF">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毛开拥</w:t>
            </w:r>
          </w:p>
        </w:tc>
        <w:tc>
          <w:tcPr>
            <w:tcW w:w="2126" w:type="dxa"/>
            <w:vAlign w:val="center"/>
          </w:tcPr>
          <w:p w14:paraId="249D5932">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1929" w:type="dxa"/>
            <w:vAlign w:val="center"/>
          </w:tcPr>
          <w:p w14:paraId="5591EB17">
            <w:pPr>
              <w:widowControl w:val="0"/>
              <w:tabs>
                <w:tab w:val="left" w:pos="258"/>
                <w:tab w:val="center" w:pos="1015"/>
              </w:tabs>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技术经济</w:t>
            </w:r>
          </w:p>
        </w:tc>
        <w:tc>
          <w:tcPr>
            <w:tcW w:w="2220" w:type="dxa"/>
            <w:vAlign w:val="center"/>
          </w:tcPr>
          <w:p w14:paraId="3C602D9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高级经济师</w:t>
            </w:r>
          </w:p>
        </w:tc>
        <w:tc>
          <w:tcPr>
            <w:tcW w:w="2010" w:type="dxa"/>
            <w:vAlign w:val="center"/>
          </w:tcPr>
          <w:p w14:paraId="23B94839">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93980</wp:posOffset>
                  </wp:positionH>
                  <wp:positionV relativeFrom="paragraph">
                    <wp:posOffset>1905</wp:posOffset>
                  </wp:positionV>
                  <wp:extent cx="875030" cy="504190"/>
                  <wp:effectExtent l="0" t="0" r="8890" b="13970"/>
                  <wp:wrapNone/>
                  <wp:docPr id="39" name="图片 39" descr="毛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毛开"/>
                          <pic:cNvPicPr>
                            <a:picLocks noChangeAspect="1"/>
                          </pic:cNvPicPr>
                        </pic:nvPicPr>
                        <pic:blipFill>
                          <a:blip r:embed="rId12"/>
                          <a:stretch>
                            <a:fillRect/>
                          </a:stretch>
                        </pic:blipFill>
                        <pic:spPr>
                          <a:xfrm>
                            <a:off x="0" y="0"/>
                            <a:ext cx="875030" cy="504190"/>
                          </a:xfrm>
                          <a:prstGeom prst="rect">
                            <a:avLst/>
                          </a:prstGeom>
                        </pic:spPr>
                      </pic:pic>
                    </a:graphicData>
                  </a:graphic>
                </wp:anchor>
              </w:drawing>
            </w:r>
          </w:p>
        </w:tc>
      </w:tr>
    </w:tbl>
    <w:p w14:paraId="481F6940">
      <w:pPr>
        <w:ind w:firstLine="560"/>
        <w:rPr>
          <w:rFonts w:ascii="宋体" w:hAnsi="宋体" w:eastAsia="宋体" w:cs="宋体"/>
          <w:color w:val="000000" w:themeColor="text1"/>
          <w:szCs w:val="28"/>
          <w14:textFill>
            <w14:solidFill>
              <w14:schemeClr w14:val="tx1"/>
            </w14:solidFill>
          </w14:textFill>
        </w:rPr>
      </w:pPr>
    </w:p>
    <w:sectPr>
      <w:pgSz w:w="11907" w:h="16839"/>
      <w:pgMar w:top="1421" w:right="1414" w:bottom="1341" w:left="1428" w:header="0" w:footer="11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A038">
    <w:pPr>
      <w:pStyle w:val="14"/>
      <w:ind w:firstLine="360"/>
      <w:jc w:val="center"/>
    </w:pPr>
    <w:r>
      <w:fldChar w:fldCharType="begin"/>
    </w:r>
    <w:r>
      <w:instrText xml:space="preserve">PAGE   \* MERGEFORMAT</w:instrText>
    </w:r>
    <w:r>
      <w:fldChar w:fldCharType="separate"/>
    </w:r>
    <w:r>
      <w:rPr>
        <w:lang w:val="zh-CN"/>
      </w:rPr>
      <w:t>17</w:t>
    </w:r>
    <w:r>
      <w:fldChar w:fldCharType="end"/>
    </w:r>
  </w:p>
  <w:p w14:paraId="156FC9A6">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92C1">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CC3DB"/>
    <w:multiLevelType w:val="singleLevel"/>
    <w:tmpl w:val="C32CC3DB"/>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YzYxOTk1ODk5Zjk3ZjU5M2YxOTBjMDczNDM3N2UifQ=="/>
  </w:docVars>
  <w:rsids>
    <w:rsidRoot w:val="00957750"/>
    <w:rsid w:val="000066C8"/>
    <w:rsid w:val="00015BC9"/>
    <w:rsid w:val="00023073"/>
    <w:rsid w:val="00034587"/>
    <w:rsid w:val="00035884"/>
    <w:rsid w:val="000620AB"/>
    <w:rsid w:val="00082A90"/>
    <w:rsid w:val="000A185B"/>
    <w:rsid w:val="000A7304"/>
    <w:rsid w:val="000B22DF"/>
    <w:rsid w:val="000C3170"/>
    <w:rsid w:val="000C6249"/>
    <w:rsid w:val="000C7FF5"/>
    <w:rsid w:val="000D00C6"/>
    <w:rsid w:val="000E45E0"/>
    <w:rsid w:val="00124093"/>
    <w:rsid w:val="00143D9F"/>
    <w:rsid w:val="00166FC4"/>
    <w:rsid w:val="00190124"/>
    <w:rsid w:val="001A5546"/>
    <w:rsid w:val="001B5766"/>
    <w:rsid w:val="001B7764"/>
    <w:rsid w:val="001D00BE"/>
    <w:rsid w:val="00207580"/>
    <w:rsid w:val="00224B13"/>
    <w:rsid w:val="0023670E"/>
    <w:rsid w:val="002402D9"/>
    <w:rsid w:val="0024035E"/>
    <w:rsid w:val="00274FDA"/>
    <w:rsid w:val="0028634F"/>
    <w:rsid w:val="00291C9A"/>
    <w:rsid w:val="002A723F"/>
    <w:rsid w:val="002D1321"/>
    <w:rsid w:val="002E4536"/>
    <w:rsid w:val="002E572C"/>
    <w:rsid w:val="00301E65"/>
    <w:rsid w:val="0031380D"/>
    <w:rsid w:val="0035261C"/>
    <w:rsid w:val="0035303D"/>
    <w:rsid w:val="0039022F"/>
    <w:rsid w:val="003928B8"/>
    <w:rsid w:val="003B6C45"/>
    <w:rsid w:val="003D0107"/>
    <w:rsid w:val="003E286F"/>
    <w:rsid w:val="004004D0"/>
    <w:rsid w:val="00406132"/>
    <w:rsid w:val="00431D3D"/>
    <w:rsid w:val="004435C2"/>
    <w:rsid w:val="00465788"/>
    <w:rsid w:val="0049077C"/>
    <w:rsid w:val="004947ED"/>
    <w:rsid w:val="004B3069"/>
    <w:rsid w:val="004C105C"/>
    <w:rsid w:val="004C1975"/>
    <w:rsid w:val="004E0060"/>
    <w:rsid w:val="004E788A"/>
    <w:rsid w:val="004F07E5"/>
    <w:rsid w:val="00520092"/>
    <w:rsid w:val="005324F9"/>
    <w:rsid w:val="00535DFC"/>
    <w:rsid w:val="00540599"/>
    <w:rsid w:val="005635AB"/>
    <w:rsid w:val="00564334"/>
    <w:rsid w:val="00577448"/>
    <w:rsid w:val="005A787A"/>
    <w:rsid w:val="005B0012"/>
    <w:rsid w:val="005C6ADC"/>
    <w:rsid w:val="005E4520"/>
    <w:rsid w:val="005E479B"/>
    <w:rsid w:val="00647E01"/>
    <w:rsid w:val="006740E0"/>
    <w:rsid w:val="00690EC8"/>
    <w:rsid w:val="006C4C10"/>
    <w:rsid w:val="006D69DD"/>
    <w:rsid w:val="006E632B"/>
    <w:rsid w:val="006F1EB5"/>
    <w:rsid w:val="006F53BD"/>
    <w:rsid w:val="00721BDD"/>
    <w:rsid w:val="007239CF"/>
    <w:rsid w:val="00733952"/>
    <w:rsid w:val="00753786"/>
    <w:rsid w:val="0076495D"/>
    <w:rsid w:val="00785792"/>
    <w:rsid w:val="00793B43"/>
    <w:rsid w:val="007B3456"/>
    <w:rsid w:val="007B3DC9"/>
    <w:rsid w:val="007C0A91"/>
    <w:rsid w:val="007D1FDD"/>
    <w:rsid w:val="00815068"/>
    <w:rsid w:val="008154BC"/>
    <w:rsid w:val="00815F41"/>
    <w:rsid w:val="00831094"/>
    <w:rsid w:val="00832A28"/>
    <w:rsid w:val="0084330F"/>
    <w:rsid w:val="00853CAC"/>
    <w:rsid w:val="008642B9"/>
    <w:rsid w:val="008758D0"/>
    <w:rsid w:val="008B1EA8"/>
    <w:rsid w:val="008C6DCC"/>
    <w:rsid w:val="008D4EE8"/>
    <w:rsid w:val="008F2B1D"/>
    <w:rsid w:val="00915015"/>
    <w:rsid w:val="00925B98"/>
    <w:rsid w:val="00930FD3"/>
    <w:rsid w:val="00954A2A"/>
    <w:rsid w:val="00957750"/>
    <w:rsid w:val="009A2EAE"/>
    <w:rsid w:val="009B0760"/>
    <w:rsid w:val="009B22C1"/>
    <w:rsid w:val="009B6118"/>
    <w:rsid w:val="009C2DDB"/>
    <w:rsid w:val="009C41A8"/>
    <w:rsid w:val="009D0557"/>
    <w:rsid w:val="009D0EA3"/>
    <w:rsid w:val="009D6FDC"/>
    <w:rsid w:val="009F269A"/>
    <w:rsid w:val="00A3601F"/>
    <w:rsid w:val="00A66686"/>
    <w:rsid w:val="00A66EE9"/>
    <w:rsid w:val="00A71822"/>
    <w:rsid w:val="00A7379D"/>
    <w:rsid w:val="00A73E2F"/>
    <w:rsid w:val="00A80B76"/>
    <w:rsid w:val="00A95FE9"/>
    <w:rsid w:val="00AA2B91"/>
    <w:rsid w:val="00AD7338"/>
    <w:rsid w:val="00B11A34"/>
    <w:rsid w:val="00B46918"/>
    <w:rsid w:val="00B93F2F"/>
    <w:rsid w:val="00BA3803"/>
    <w:rsid w:val="00BA5074"/>
    <w:rsid w:val="00BA5139"/>
    <w:rsid w:val="00BD4DB6"/>
    <w:rsid w:val="00BD6CA7"/>
    <w:rsid w:val="00C22A20"/>
    <w:rsid w:val="00C31512"/>
    <w:rsid w:val="00C570CF"/>
    <w:rsid w:val="00C60350"/>
    <w:rsid w:val="00C6281A"/>
    <w:rsid w:val="00C713DF"/>
    <w:rsid w:val="00C77BA7"/>
    <w:rsid w:val="00CB1982"/>
    <w:rsid w:val="00CD25F9"/>
    <w:rsid w:val="00CE4983"/>
    <w:rsid w:val="00CE75C5"/>
    <w:rsid w:val="00CF0DA0"/>
    <w:rsid w:val="00CF2932"/>
    <w:rsid w:val="00D05A6D"/>
    <w:rsid w:val="00D2527F"/>
    <w:rsid w:val="00D77544"/>
    <w:rsid w:val="00D86B80"/>
    <w:rsid w:val="00DE5B9C"/>
    <w:rsid w:val="00E37675"/>
    <w:rsid w:val="00E62F24"/>
    <w:rsid w:val="00E85251"/>
    <w:rsid w:val="00E95B73"/>
    <w:rsid w:val="00EA51F0"/>
    <w:rsid w:val="00EC4E30"/>
    <w:rsid w:val="00EE470D"/>
    <w:rsid w:val="00EF6AB5"/>
    <w:rsid w:val="00F00C05"/>
    <w:rsid w:val="00F1124E"/>
    <w:rsid w:val="00F17740"/>
    <w:rsid w:val="00F209C5"/>
    <w:rsid w:val="00F27D75"/>
    <w:rsid w:val="00F34BF7"/>
    <w:rsid w:val="00F44645"/>
    <w:rsid w:val="00F554C3"/>
    <w:rsid w:val="00F673D2"/>
    <w:rsid w:val="00F67404"/>
    <w:rsid w:val="00F72D2C"/>
    <w:rsid w:val="00F7615E"/>
    <w:rsid w:val="00F82AD1"/>
    <w:rsid w:val="00FA425F"/>
    <w:rsid w:val="00FB6D6A"/>
    <w:rsid w:val="00FC1CD0"/>
    <w:rsid w:val="01282E62"/>
    <w:rsid w:val="01453A14"/>
    <w:rsid w:val="015A3576"/>
    <w:rsid w:val="015B6D94"/>
    <w:rsid w:val="016056CA"/>
    <w:rsid w:val="017240DE"/>
    <w:rsid w:val="01787946"/>
    <w:rsid w:val="0179546C"/>
    <w:rsid w:val="017E6F26"/>
    <w:rsid w:val="01875DDB"/>
    <w:rsid w:val="01A249C3"/>
    <w:rsid w:val="01D152A8"/>
    <w:rsid w:val="01E7687A"/>
    <w:rsid w:val="020A35B3"/>
    <w:rsid w:val="020E2058"/>
    <w:rsid w:val="02443CCC"/>
    <w:rsid w:val="025D08EA"/>
    <w:rsid w:val="0261662C"/>
    <w:rsid w:val="026779BA"/>
    <w:rsid w:val="026C5261"/>
    <w:rsid w:val="02902A6D"/>
    <w:rsid w:val="029F7154"/>
    <w:rsid w:val="02B96468"/>
    <w:rsid w:val="02CD36F4"/>
    <w:rsid w:val="02E828A9"/>
    <w:rsid w:val="02FC45A7"/>
    <w:rsid w:val="0301396B"/>
    <w:rsid w:val="0317318F"/>
    <w:rsid w:val="033755DF"/>
    <w:rsid w:val="038A1793"/>
    <w:rsid w:val="038D3451"/>
    <w:rsid w:val="03991DF6"/>
    <w:rsid w:val="03C50E3C"/>
    <w:rsid w:val="03CA0201"/>
    <w:rsid w:val="03CA6453"/>
    <w:rsid w:val="03CF3A69"/>
    <w:rsid w:val="03E94B2B"/>
    <w:rsid w:val="03F4702C"/>
    <w:rsid w:val="041A4972"/>
    <w:rsid w:val="042E69E2"/>
    <w:rsid w:val="043D4E77"/>
    <w:rsid w:val="04442412"/>
    <w:rsid w:val="04620439"/>
    <w:rsid w:val="04974587"/>
    <w:rsid w:val="04EF43C3"/>
    <w:rsid w:val="04F05A45"/>
    <w:rsid w:val="04F9561C"/>
    <w:rsid w:val="050140F6"/>
    <w:rsid w:val="05031C1C"/>
    <w:rsid w:val="052F2A11"/>
    <w:rsid w:val="052F5AAA"/>
    <w:rsid w:val="054A15F9"/>
    <w:rsid w:val="05571F68"/>
    <w:rsid w:val="05B253F0"/>
    <w:rsid w:val="05B60A3D"/>
    <w:rsid w:val="05EA4B8A"/>
    <w:rsid w:val="05F475D8"/>
    <w:rsid w:val="060D2627"/>
    <w:rsid w:val="06147E59"/>
    <w:rsid w:val="062A62BD"/>
    <w:rsid w:val="06451DC1"/>
    <w:rsid w:val="064F2C3F"/>
    <w:rsid w:val="06727D6D"/>
    <w:rsid w:val="06B86A37"/>
    <w:rsid w:val="06BB2083"/>
    <w:rsid w:val="06CC4290"/>
    <w:rsid w:val="06EF389B"/>
    <w:rsid w:val="06FD269B"/>
    <w:rsid w:val="07230354"/>
    <w:rsid w:val="073C7668"/>
    <w:rsid w:val="07433862"/>
    <w:rsid w:val="076B5857"/>
    <w:rsid w:val="077706A0"/>
    <w:rsid w:val="0792258C"/>
    <w:rsid w:val="07A910C8"/>
    <w:rsid w:val="07BB058C"/>
    <w:rsid w:val="07C51AFC"/>
    <w:rsid w:val="07EA0E72"/>
    <w:rsid w:val="0808579C"/>
    <w:rsid w:val="0891753F"/>
    <w:rsid w:val="08CC4C0B"/>
    <w:rsid w:val="08CE609D"/>
    <w:rsid w:val="08F16230"/>
    <w:rsid w:val="09023F99"/>
    <w:rsid w:val="09554A11"/>
    <w:rsid w:val="096864F2"/>
    <w:rsid w:val="096E162E"/>
    <w:rsid w:val="096F5AD2"/>
    <w:rsid w:val="098133B4"/>
    <w:rsid w:val="09A339CE"/>
    <w:rsid w:val="09B41737"/>
    <w:rsid w:val="09C63218"/>
    <w:rsid w:val="09CF031F"/>
    <w:rsid w:val="09D41DD9"/>
    <w:rsid w:val="09DE0562"/>
    <w:rsid w:val="0A287A2F"/>
    <w:rsid w:val="0A36039E"/>
    <w:rsid w:val="0A4D2668"/>
    <w:rsid w:val="0A540824"/>
    <w:rsid w:val="0A72718D"/>
    <w:rsid w:val="0A821835"/>
    <w:rsid w:val="0AC51722"/>
    <w:rsid w:val="0ACA6D38"/>
    <w:rsid w:val="0B021132"/>
    <w:rsid w:val="0B1306DF"/>
    <w:rsid w:val="0B17653B"/>
    <w:rsid w:val="0B1D50BA"/>
    <w:rsid w:val="0B3A5853"/>
    <w:rsid w:val="0B661144"/>
    <w:rsid w:val="0B756CA4"/>
    <w:rsid w:val="0B9A670B"/>
    <w:rsid w:val="0BB35A1E"/>
    <w:rsid w:val="0BDF6813"/>
    <w:rsid w:val="0BE1433A"/>
    <w:rsid w:val="0BED0F30"/>
    <w:rsid w:val="0BF24799"/>
    <w:rsid w:val="0BF422BF"/>
    <w:rsid w:val="0C25691C"/>
    <w:rsid w:val="0C272694"/>
    <w:rsid w:val="0C2C2BDB"/>
    <w:rsid w:val="0C4A6383"/>
    <w:rsid w:val="0C5C1C12"/>
    <w:rsid w:val="0C9475FE"/>
    <w:rsid w:val="0C965124"/>
    <w:rsid w:val="0CA830A9"/>
    <w:rsid w:val="0CCE6CC6"/>
    <w:rsid w:val="0CDD2D53"/>
    <w:rsid w:val="0CE40585"/>
    <w:rsid w:val="0CE642FD"/>
    <w:rsid w:val="0CF63E15"/>
    <w:rsid w:val="0D076022"/>
    <w:rsid w:val="0D0F0D92"/>
    <w:rsid w:val="0D307327"/>
    <w:rsid w:val="0D4C7ED9"/>
    <w:rsid w:val="0D51729D"/>
    <w:rsid w:val="0D6C2329"/>
    <w:rsid w:val="0D7275B2"/>
    <w:rsid w:val="0DA9532B"/>
    <w:rsid w:val="0DBF06AB"/>
    <w:rsid w:val="0DC108C7"/>
    <w:rsid w:val="0DC21F49"/>
    <w:rsid w:val="0DD24882"/>
    <w:rsid w:val="0DE3083D"/>
    <w:rsid w:val="0E0013EF"/>
    <w:rsid w:val="0E1E7AC7"/>
    <w:rsid w:val="0E344BF5"/>
    <w:rsid w:val="0E5C239D"/>
    <w:rsid w:val="0E715E49"/>
    <w:rsid w:val="0E9471C0"/>
    <w:rsid w:val="0EBE4E06"/>
    <w:rsid w:val="0EF32D02"/>
    <w:rsid w:val="0EF95E3E"/>
    <w:rsid w:val="0F052A35"/>
    <w:rsid w:val="0F056591"/>
    <w:rsid w:val="0F1862C4"/>
    <w:rsid w:val="0F205179"/>
    <w:rsid w:val="0F3375A2"/>
    <w:rsid w:val="0F394598"/>
    <w:rsid w:val="0F4A0448"/>
    <w:rsid w:val="0F711E78"/>
    <w:rsid w:val="0F7200CA"/>
    <w:rsid w:val="0F92411F"/>
    <w:rsid w:val="0FD85A54"/>
    <w:rsid w:val="0FE4264A"/>
    <w:rsid w:val="0FE8213B"/>
    <w:rsid w:val="0FE95EB3"/>
    <w:rsid w:val="10993435"/>
    <w:rsid w:val="10AE33DE"/>
    <w:rsid w:val="111331E7"/>
    <w:rsid w:val="11301FEB"/>
    <w:rsid w:val="115E01DA"/>
    <w:rsid w:val="117B0D8C"/>
    <w:rsid w:val="1196605D"/>
    <w:rsid w:val="11CC783A"/>
    <w:rsid w:val="11D010D8"/>
    <w:rsid w:val="11FF376C"/>
    <w:rsid w:val="121543C9"/>
    <w:rsid w:val="12323B41"/>
    <w:rsid w:val="12353631"/>
    <w:rsid w:val="124F64A1"/>
    <w:rsid w:val="126637EB"/>
    <w:rsid w:val="126A32DB"/>
    <w:rsid w:val="128679E9"/>
    <w:rsid w:val="12902616"/>
    <w:rsid w:val="129B16E6"/>
    <w:rsid w:val="12BC340B"/>
    <w:rsid w:val="12C32F26"/>
    <w:rsid w:val="130628D8"/>
    <w:rsid w:val="1312127D"/>
    <w:rsid w:val="13255454"/>
    <w:rsid w:val="13763F01"/>
    <w:rsid w:val="13C44C6D"/>
    <w:rsid w:val="13D418D5"/>
    <w:rsid w:val="13DA4490"/>
    <w:rsid w:val="13F07810"/>
    <w:rsid w:val="13FD1F2D"/>
    <w:rsid w:val="14125E20"/>
    <w:rsid w:val="14186D67"/>
    <w:rsid w:val="14327E28"/>
    <w:rsid w:val="1433594E"/>
    <w:rsid w:val="143A0A8B"/>
    <w:rsid w:val="143F60A1"/>
    <w:rsid w:val="14667AD2"/>
    <w:rsid w:val="147C5547"/>
    <w:rsid w:val="149A3C1F"/>
    <w:rsid w:val="149A59CD"/>
    <w:rsid w:val="14A01236"/>
    <w:rsid w:val="14BA7E1E"/>
    <w:rsid w:val="14BB6070"/>
    <w:rsid w:val="14BE4D00"/>
    <w:rsid w:val="14C34F24"/>
    <w:rsid w:val="14DE3B0C"/>
    <w:rsid w:val="14E248D3"/>
    <w:rsid w:val="14E31122"/>
    <w:rsid w:val="14EF5D19"/>
    <w:rsid w:val="155B6F0B"/>
    <w:rsid w:val="156009C5"/>
    <w:rsid w:val="156C1118"/>
    <w:rsid w:val="156F6E5A"/>
    <w:rsid w:val="15714980"/>
    <w:rsid w:val="15962428"/>
    <w:rsid w:val="15A765F4"/>
    <w:rsid w:val="15BB3382"/>
    <w:rsid w:val="15C251DC"/>
    <w:rsid w:val="15E05662"/>
    <w:rsid w:val="15E2762C"/>
    <w:rsid w:val="160E0421"/>
    <w:rsid w:val="16161084"/>
    <w:rsid w:val="16353C00"/>
    <w:rsid w:val="16481B85"/>
    <w:rsid w:val="1695469E"/>
    <w:rsid w:val="16AC2708"/>
    <w:rsid w:val="16F5513D"/>
    <w:rsid w:val="171952CF"/>
    <w:rsid w:val="173B5246"/>
    <w:rsid w:val="175C51BC"/>
    <w:rsid w:val="177C13BA"/>
    <w:rsid w:val="177C760C"/>
    <w:rsid w:val="17836BED"/>
    <w:rsid w:val="17854713"/>
    <w:rsid w:val="178C784F"/>
    <w:rsid w:val="17A96653"/>
    <w:rsid w:val="17BA0860"/>
    <w:rsid w:val="17F13B56"/>
    <w:rsid w:val="17FD24FB"/>
    <w:rsid w:val="18185587"/>
    <w:rsid w:val="183F48C2"/>
    <w:rsid w:val="185C1918"/>
    <w:rsid w:val="185D76B3"/>
    <w:rsid w:val="187327BD"/>
    <w:rsid w:val="187C3D68"/>
    <w:rsid w:val="187D363C"/>
    <w:rsid w:val="18CD6371"/>
    <w:rsid w:val="18CE20EA"/>
    <w:rsid w:val="18DF2466"/>
    <w:rsid w:val="193E101D"/>
    <w:rsid w:val="194B7296"/>
    <w:rsid w:val="1953010A"/>
    <w:rsid w:val="19837207"/>
    <w:rsid w:val="19A75624"/>
    <w:rsid w:val="19AC5F87"/>
    <w:rsid w:val="19B525C4"/>
    <w:rsid w:val="19E03E83"/>
    <w:rsid w:val="19EE47F1"/>
    <w:rsid w:val="1A15428C"/>
    <w:rsid w:val="1A2A3350"/>
    <w:rsid w:val="1A417809"/>
    <w:rsid w:val="1A501008"/>
    <w:rsid w:val="1A5328A6"/>
    <w:rsid w:val="1A646862"/>
    <w:rsid w:val="1A987408"/>
    <w:rsid w:val="1AA44EB0"/>
    <w:rsid w:val="1AB570BD"/>
    <w:rsid w:val="1ABC044C"/>
    <w:rsid w:val="1ADA571C"/>
    <w:rsid w:val="1AEE0821"/>
    <w:rsid w:val="1AFA66D4"/>
    <w:rsid w:val="1B1A7868"/>
    <w:rsid w:val="1B55264E"/>
    <w:rsid w:val="1B6D7998"/>
    <w:rsid w:val="1B7B0307"/>
    <w:rsid w:val="1B851185"/>
    <w:rsid w:val="1BC81072"/>
    <w:rsid w:val="1BD45C69"/>
    <w:rsid w:val="1C112A19"/>
    <w:rsid w:val="1C145AD5"/>
    <w:rsid w:val="1C2F10F1"/>
    <w:rsid w:val="1C8633A9"/>
    <w:rsid w:val="1C9121E5"/>
    <w:rsid w:val="1CAB5AF6"/>
    <w:rsid w:val="1CB87339"/>
    <w:rsid w:val="1CC96E50"/>
    <w:rsid w:val="1CCE699E"/>
    <w:rsid w:val="1CD86382"/>
    <w:rsid w:val="1D0936F0"/>
    <w:rsid w:val="1D1E53EE"/>
    <w:rsid w:val="1D3A1AFC"/>
    <w:rsid w:val="1D3E15EC"/>
    <w:rsid w:val="1D7C2114"/>
    <w:rsid w:val="1D7E40DE"/>
    <w:rsid w:val="1D884F5D"/>
    <w:rsid w:val="1D9531D6"/>
    <w:rsid w:val="1D9C27B6"/>
    <w:rsid w:val="1DA17DCD"/>
    <w:rsid w:val="1DAF6046"/>
    <w:rsid w:val="1DB47B00"/>
    <w:rsid w:val="1DC835AB"/>
    <w:rsid w:val="1E0B5246"/>
    <w:rsid w:val="1E2527AC"/>
    <w:rsid w:val="1E3649B9"/>
    <w:rsid w:val="1E9021D3"/>
    <w:rsid w:val="1EAC6A29"/>
    <w:rsid w:val="1EB15DEE"/>
    <w:rsid w:val="1EB92499"/>
    <w:rsid w:val="1EC27FFB"/>
    <w:rsid w:val="1EE63BA8"/>
    <w:rsid w:val="1EE95587"/>
    <w:rsid w:val="1EFD2558"/>
    <w:rsid w:val="1EFD7285"/>
    <w:rsid w:val="1F122D30"/>
    <w:rsid w:val="1F242A63"/>
    <w:rsid w:val="1F49071C"/>
    <w:rsid w:val="1F5275D0"/>
    <w:rsid w:val="1F6C45AE"/>
    <w:rsid w:val="1F707A57"/>
    <w:rsid w:val="1F75506D"/>
    <w:rsid w:val="1F953961"/>
    <w:rsid w:val="1FA140B4"/>
    <w:rsid w:val="1FA3607E"/>
    <w:rsid w:val="1FB21E1D"/>
    <w:rsid w:val="1FBE07C2"/>
    <w:rsid w:val="1FC64343"/>
    <w:rsid w:val="1FDF698A"/>
    <w:rsid w:val="1FE91D68"/>
    <w:rsid w:val="1FF468DA"/>
    <w:rsid w:val="201A4426"/>
    <w:rsid w:val="20256A93"/>
    <w:rsid w:val="20410142"/>
    <w:rsid w:val="20765541"/>
    <w:rsid w:val="20790B8D"/>
    <w:rsid w:val="207C420E"/>
    <w:rsid w:val="208D63E6"/>
    <w:rsid w:val="2099122F"/>
    <w:rsid w:val="2110329F"/>
    <w:rsid w:val="212D20A3"/>
    <w:rsid w:val="21674E89"/>
    <w:rsid w:val="218E2416"/>
    <w:rsid w:val="219739C1"/>
    <w:rsid w:val="21C46106"/>
    <w:rsid w:val="21D06ED2"/>
    <w:rsid w:val="21E435AA"/>
    <w:rsid w:val="21E87D78"/>
    <w:rsid w:val="21F7445F"/>
    <w:rsid w:val="21FE759C"/>
    <w:rsid w:val="22192627"/>
    <w:rsid w:val="22561186"/>
    <w:rsid w:val="22590C76"/>
    <w:rsid w:val="2265586D"/>
    <w:rsid w:val="227C5782"/>
    <w:rsid w:val="22877591"/>
    <w:rsid w:val="228C104B"/>
    <w:rsid w:val="22A068A5"/>
    <w:rsid w:val="22B45EAC"/>
    <w:rsid w:val="22B61C24"/>
    <w:rsid w:val="22B91715"/>
    <w:rsid w:val="22BA5BB9"/>
    <w:rsid w:val="22C32593"/>
    <w:rsid w:val="22E70030"/>
    <w:rsid w:val="22EF5136"/>
    <w:rsid w:val="23270D74"/>
    <w:rsid w:val="233F6CE3"/>
    <w:rsid w:val="23607DE2"/>
    <w:rsid w:val="237D0994"/>
    <w:rsid w:val="238166D6"/>
    <w:rsid w:val="2392443F"/>
    <w:rsid w:val="23A105E9"/>
    <w:rsid w:val="23AE6D9F"/>
    <w:rsid w:val="23B5012E"/>
    <w:rsid w:val="23C36519"/>
    <w:rsid w:val="23D3133D"/>
    <w:rsid w:val="23D700A4"/>
    <w:rsid w:val="23F70746"/>
    <w:rsid w:val="23F724F4"/>
    <w:rsid w:val="240D3AC6"/>
    <w:rsid w:val="242F3648"/>
    <w:rsid w:val="24516CBE"/>
    <w:rsid w:val="248E2D16"/>
    <w:rsid w:val="24BD4B8E"/>
    <w:rsid w:val="24D9609E"/>
    <w:rsid w:val="24EF7670"/>
    <w:rsid w:val="24F353B2"/>
    <w:rsid w:val="25126CA9"/>
    <w:rsid w:val="252B1EA1"/>
    <w:rsid w:val="25445C0D"/>
    <w:rsid w:val="25496D80"/>
    <w:rsid w:val="254C4AC2"/>
    <w:rsid w:val="25981AB5"/>
    <w:rsid w:val="259F4BF2"/>
    <w:rsid w:val="25BA7C7E"/>
    <w:rsid w:val="25BE7507"/>
    <w:rsid w:val="25CE197B"/>
    <w:rsid w:val="25DD3224"/>
    <w:rsid w:val="25E60A73"/>
    <w:rsid w:val="25F018F1"/>
    <w:rsid w:val="25F74A2E"/>
    <w:rsid w:val="260F621B"/>
    <w:rsid w:val="2610789E"/>
    <w:rsid w:val="261C4494"/>
    <w:rsid w:val="2623001B"/>
    <w:rsid w:val="26612D6B"/>
    <w:rsid w:val="26834513"/>
    <w:rsid w:val="26AA1AA0"/>
    <w:rsid w:val="26AC3A6A"/>
    <w:rsid w:val="26B650BC"/>
    <w:rsid w:val="26B97F35"/>
    <w:rsid w:val="27082C6B"/>
    <w:rsid w:val="27337CE7"/>
    <w:rsid w:val="27767BD4"/>
    <w:rsid w:val="27A940A4"/>
    <w:rsid w:val="27AB3D22"/>
    <w:rsid w:val="27B150B0"/>
    <w:rsid w:val="27B5694E"/>
    <w:rsid w:val="27D03788"/>
    <w:rsid w:val="27DF39CB"/>
    <w:rsid w:val="27F427FC"/>
    <w:rsid w:val="281D44F4"/>
    <w:rsid w:val="282B3F32"/>
    <w:rsid w:val="28302479"/>
    <w:rsid w:val="284A74CB"/>
    <w:rsid w:val="285C501C"/>
    <w:rsid w:val="287F0D0A"/>
    <w:rsid w:val="28852C5D"/>
    <w:rsid w:val="288602EB"/>
    <w:rsid w:val="288D7C6A"/>
    <w:rsid w:val="28A864EB"/>
    <w:rsid w:val="28A95D87"/>
    <w:rsid w:val="28AF339E"/>
    <w:rsid w:val="28D41056"/>
    <w:rsid w:val="28ED2118"/>
    <w:rsid w:val="290556B4"/>
    <w:rsid w:val="29064F88"/>
    <w:rsid w:val="29121B7F"/>
    <w:rsid w:val="291476A5"/>
    <w:rsid w:val="292A6EC8"/>
    <w:rsid w:val="293E0BC6"/>
    <w:rsid w:val="2940049A"/>
    <w:rsid w:val="296E1BB1"/>
    <w:rsid w:val="29F15C38"/>
    <w:rsid w:val="2A077209"/>
    <w:rsid w:val="2A081A28"/>
    <w:rsid w:val="2A0B4F4C"/>
    <w:rsid w:val="2A12304A"/>
    <w:rsid w:val="2A1262DA"/>
    <w:rsid w:val="2A2B2EF8"/>
    <w:rsid w:val="2A3D0E7D"/>
    <w:rsid w:val="2A704DAF"/>
    <w:rsid w:val="2A7A3E7F"/>
    <w:rsid w:val="2A7D0899"/>
    <w:rsid w:val="2A9C2048"/>
    <w:rsid w:val="2AAA4765"/>
    <w:rsid w:val="2ACF5F79"/>
    <w:rsid w:val="2B1716CE"/>
    <w:rsid w:val="2B255DA9"/>
    <w:rsid w:val="2B2D4A4E"/>
    <w:rsid w:val="2B485D2C"/>
    <w:rsid w:val="2B7B1C5D"/>
    <w:rsid w:val="2BB138D1"/>
    <w:rsid w:val="2BF51A0F"/>
    <w:rsid w:val="2BFC5462"/>
    <w:rsid w:val="2C1B33C6"/>
    <w:rsid w:val="2C5D75B5"/>
    <w:rsid w:val="2C646D6B"/>
    <w:rsid w:val="2C7C5C8D"/>
    <w:rsid w:val="2CD72C54"/>
    <w:rsid w:val="2CE657FC"/>
    <w:rsid w:val="2CFD0E66"/>
    <w:rsid w:val="2D0143E4"/>
    <w:rsid w:val="2D087520"/>
    <w:rsid w:val="2D173C07"/>
    <w:rsid w:val="2D287BC3"/>
    <w:rsid w:val="2D2A0EC9"/>
    <w:rsid w:val="2D430559"/>
    <w:rsid w:val="2D4744ED"/>
    <w:rsid w:val="2D524C40"/>
    <w:rsid w:val="2D595FCE"/>
    <w:rsid w:val="2D662499"/>
    <w:rsid w:val="2D686211"/>
    <w:rsid w:val="2D6A01DB"/>
    <w:rsid w:val="2D9214E0"/>
    <w:rsid w:val="2DC84F02"/>
    <w:rsid w:val="2DE76623"/>
    <w:rsid w:val="2DEC0BF0"/>
    <w:rsid w:val="2E25003C"/>
    <w:rsid w:val="2E334E31"/>
    <w:rsid w:val="2E3877F2"/>
    <w:rsid w:val="2E61338C"/>
    <w:rsid w:val="2E756E38"/>
    <w:rsid w:val="2E7806D6"/>
    <w:rsid w:val="2EB51324"/>
    <w:rsid w:val="2EB84F76"/>
    <w:rsid w:val="2EC72420"/>
    <w:rsid w:val="2EE31FF3"/>
    <w:rsid w:val="2EE87609"/>
    <w:rsid w:val="2EFC1307"/>
    <w:rsid w:val="2F05640D"/>
    <w:rsid w:val="2F1C5505"/>
    <w:rsid w:val="2F212B1B"/>
    <w:rsid w:val="2F4F7689"/>
    <w:rsid w:val="2F6649D2"/>
    <w:rsid w:val="2F8A08CC"/>
    <w:rsid w:val="2FAF0127"/>
    <w:rsid w:val="2FF975F4"/>
    <w:rsid w:val="3011493E"/>
    <w:rsid w:val="30185CCC"/>
    <w:rsid w:val="30901D07"/>
    <w:rsid w:val="30EE2ED1"/>
    <w:rsid w:val="31093867"/>
    <w:rsid w:val="3126266B"/>
    <w:rsid w:val="3139239E"/>
    <w:rsid w:val="316E7B6E"/>
    <w:rsid w:val="317433D6"/>
    <w:rsid w:val="317E6003"/>
    <w:rsid w:val="318B536B"/>
    <w:rsid w:val="31B436BD"/>
    <w:rsid w:val="31C14142"/>
    <w:rsid w:val="31DE4CF4"/>
    <w:rsid w:val="31E56082"/>
    <w:rsid w:val="31E7004C"/>
    <w:rsid w:val="32171FB4"/>
    <w:rsid w:val="32384404"/>
    <w:rsid w:val="32717916"/>
    <w:rsid w:val="32E97DF4"/>
    <w:rsid w:val="33174961"/>
    <w:rsid w:val="331A77C2"/>
    <w:rsid w:val="33560942"/>
    <w:rsid w:val="33753436"/>
    <w:rsid w:val="337C47C4"/>
    <w:rsid w:val="33865643"/>
    <w:rsid w:val="339733AC"/>
    <w:rsid w:val="339C09C3"/>
    <w:rsid w:val="33A44776"/>
    <w:rsid w:val="33A63194"/>
    <w:rsid w:val="33DC5263"/>
    <w:rsid w:val="344F3C87"/>
    <w:rsid w:val="34594B05"/>
    <w:rsid w:val="347436ED"/>
    <w:rsid w:val="34831B82"/>
    <w:rsid w:val="348E0C53"/>
    <w:rsid w:val="34983880"/>
    <w:rsid w:val="35076310"/>
    <w:rsid w:val="3557344C"/>
    <w:rsid w:val="35683252"/>
    <w:rsid w:val="357716E7"/>
    <w:rsid w:val="358B5193"/>
    <w:rsid w:val="35A149B6"/>
    <w:rsid w:val="35D102BC"/>
    <w:rsid w:val="360771BA"/>
    <w:rsid w:val="360A0F8C"/>
    <w:rsid w:val="36525CB0"/>
    <w:rsid w:val="365915D2"/>
    <w:rsid w:val="3662670E"/>
    <w:rsid w:val="36B10C29"/>
    <w:rsid w:val="36B27B41"/>
    <w:rsid w:val="36C86902"/>
    <w:rsid w:val="36D13079"/>
    <w:rsid w:val="36E27034"/>
    <w:rsid w:val="36E96615"/>
    <w:rsid w:val="36FF1994"/>
    <w:rsid w:val="373972A7"/>
    <w:rsid w:val="374B4BD9"/>
    <w:rsid w:val="37585548"/>
    <w:rsid w:val="375C0B95"/>
    <w:rsid w:val="375D66BB"/>
    <w:rsid w:val="376A0DBC"/>
    <w:rsid w:val="378B3228"/>
    <w:rsid w:val="379E11AD"/>
    <w:rsid w:val="37B207B5"/>
    <w:rsid w:val="37B6570D"/>
    <w:rsid w:val="37B81B43"/>
    <w:rsid w:val="37CA01F4"/>
    <w:rsid w:val="37E56DDC"/>
    <w:rsid w:val="37EA43F2"/>
    <w:rsid w:val="37EE2BEA"/>
    <w:rsid w:val="380134EA"/>
    <w:rsid w:val="383E473E"/>
    <w:rsid w:val="383E7EED"/>
    <w:rsid w:val="3857135C"/>
    <w:rsid w:val="38581532"/>
    <w:rsid w:val="386A108F"/>
    <w:rsid w:val="38A722E3"/>
    <w:rsid w:val="38A74091"/>
    <w:rsid w:val="38B4055C"/>
    <w:rsid w:val="39006C13"/>
    <w:rsid w:val="390B0AC4"/>
    <w:rsid w:val="39137979"/>
    <w:rsid w:val="392E4F96"/>
    <w:rsid w:val="39421F20"/>
    <w:rsid w:val="398C10E2"/>
    <w:rsid w:val="398C14D9"/>
    <w:rsid w:val="39A00A71"/>
    <w:rsid w:val="39A71956"/>
    <w:rsid w:val="39DE1D35"/>
    <w:rsid w:val="39E11825"/>
    <w:rsid w:val="3A173499"/>
    <w:rsid w:val="3A257964"/>
    <w:rsid w:val="3A345DF9"/>
    <w:rsid w:val="3A563FC1"/>
    <w:rsid w:val="3A72247D"/>
    <w:rsid w:val="3A946897"/>
    <w:rsid w:val="3AA765CB"/>
    <w:rsid w:val="3B6C4028"/>
    <w:rsid w:val="3B974891"/>
    <w:rsid w:val="3BAB1079"/>
    <w:rsid w:val="3BD038FF"/>
    <w:rsid w:val="3BD333EF"/>
    <w:rsid w:val="3BFC46F4"/>
    <w:rsid w:val="3C2F484C"/>
    <w:rsid w:val="3C3420E0"/>
    <w:rsid w:val="3C3527D5"/>
    <w:rsid w:val="3C5207B8"/>
    <w:rsid w:val="3C8C1F1C"/>
    <w:rsid w:val="3CA60B04"/>
    <w:rsid w:val="3CAB1C76"/>
    <w:rsid w:val="3CB66F99"/>
    <w:rsid w:val="3CCF1E09"/>
    <w:rsid w:val="3CD15B81"/>
    <w:rsid w:val="3CD4741F"/>
    <w:rsid w:val="3CDB07AE"/>
    <w:rsid w:val="3CDB255C"/>
    <w:rsid w:val="3CEF4259"/>
    <w:rsid w:val="3D015D3A"/>
    <w:rsid w:val="3D17730C"/>
    <w:rsid w:val="3D1B6DFC"/>
    <w:rsid w:val="3D4A5933"/>
    <w:rsid w:val="3D4F4CF8"/>
    <w:rsid w:val="3D537E59"/>
    <w:rsid w:val="3D583BAC"/>
    <w:rsid w:val="3D5A3DC8"/>
    <w:rsid w:val="3D6D517E"/>
    <w:rsid w:val="3DDA6CB7"/>
    <w:rsid w:val="3DDB658B"/>
    <w:rsid w:val="3DF02037"/>
    <w:rsid w:val="3DF15DAF"/>
    <w:rsid w:val="3DF7373D"/>
    <w:rsid w:val="3DF912B5"/>
    <w:rsid w:val="3E03671E"/>
    <w:rsid w:val="3E1F46CA"/>
    <w:rsid w:val="3E300685"/>
    <w:rsid w:val="3E344619"/>
    <w:rsid w:val="3E444130"/>
    <w:rsid w:val="3E5A1BA6"/>
    <w:rsid w:val="3E840C8F"/>
    <w:rsid w:val="3EE55913"/>
    <w:rsid w:val="3F1E2BD3"/>
    <w:rsid w:val="3F2200A2"/>
    <w:rsid w:val="3F275F2C"/>
    <w:rsid w:val="3F3E6DD2"/>
    <w:rsid w:val="3F8F587F"/>
    <w:rsid w:val="3F9769DD"/>
    <w:rsid w:val="3FA94B93"/>
    <w:rsid w:val="3FC30892"/>
    <w:rsid w:val="3FE61943"/>
    <w:rsid w:val="3FE91433"/>
    <w:rsid w:val="402E5098"/>
    <w:rsid w:val="403703F1"/>
    <w:rsid w:val="40907B01"/>
    <w:rsid w:val="40A84E4B"/>
    <w:rsid w:val="40BB2DD0"/>
    <w:rsid w:val="41173D7E"/>
    <w:rsid w:val="413608FA"/>
    <w:rsid w:val="41490391"/>
    <w:rsid w:val="41831414"/>
    <w:rsid w:val="41986C6D"/>
    <w:rsid w:val="41A27AEC"/>
    <w:rsid w:val="41AC44C7"/>
    <w:rsid w:val="41C2018E"/>
    <w:rsid w:val="41C850AD"/>
    <w:rsid w:val="41E33C60"/>
    <w:rsid w:val="41FF0A9A"/>
    <w:rsid w:val="42366486"/>
    <w:rsid w:val="42424E2B"/>
    <w:rsid w:val="4249440B"/>
    <w:rsid w:val="425D3A13"/>
    <w:rsid w:val="43106CD7"/>
    <w:rsid w:val="431D1023"/>
    <w:rsid w:val="43346E69"/>
    <w:rsid w:val="43476B9D"/>
    <w:rsid w:val="435C1F1C"/>
    <w:rsid w:val="43641CC3"/>
    <w:rsid w:val="43882D11"/>
    <w:rsid w:val="438C2802"/>
    <w:rsid w:val="43963680"/>
    <w:rsid w:val="43B9111D"/>
    <w:rsid w:val="43D877F5"/>
    <w:rsid w:val="442A5B77"/>
    <w:rsid w:val="446A0634"/>
    <w:rsid w:val="44A678F3"/>
    <w:rsid w:val="44AB6087"/>
    <w:rsid w:val="44B33DBE"/>
    <w:rsid w:val="44C23E37"/>
    <w:rsid w:val="44F901B8"/>
    <w:rsid w:val="44FD328B"/>
    <w:rsid w:val="45101210"/>
    <w:rsid w:val="452847AC"/>
    <w:rsid w:val="458E4869"/>
    <w:rsid w:val="459338F2"/>
    <w:rsid w:val="45B21B65"/>
    <w:rsid w:val="46144D30"/>
    <w:rsid w:val="462C207A"/>
    <w:rsid w:val="465670F7"/>
    <w:rsid w:val="465B64BB"/>
    <w:rsid w:val="466B2BA2"/>
    <w:rsid w:val="4674757D"/>
    <w:rsid w:val="467D0B27"/>
    <w:rsid w:val="46A012BC"/>
    <w:rsid w:val="46B53E1D"/>
    <w:rsid w:val="46B75F04"/>
    <w:rsid w:val="46C17060"/>
    <w:rsid w:val="46C67DD9"/>
    <w:rsid w:val="46CC73B9"/>
    <w:rsid w:val="46DF0E9A"/>
    <w:rsid w:val="46E110B6"/>
    <w:rsid w:val="46E12E64"/>
    <w:rsid w:val="46E14C12"/>
    <w:rsid w:val="46E42955"/>
    <w:rsid w:val="46E841F3"/>
    <w:rsid w:val="47084895"/>
    <w:rsid w:val="471A6376"/>
    <w:rsid w:val="476D64A6"/>
    <w:rsid w:val="47775577"/>
    <w:rsid w:val="47777325"/>
    <w:rsid w:val="47F941DE"/>
    <w:rsid w:val="483B65A4"/>
    <w:rsid w:val="48515DC8"/>
    <w:rsid w:val="48535EE5"/>
    <w:rsid w:val="486024AF"/>
    <w:rsid w:val="489108BA"/>
    <w:rsid w:val="48AE321A"/>
    <w:rsid w:val="48BF0F83"/>
    <w:rsid w:val="48C55FA1"/>
    <w:rsid w:val="49025314"/>
    <w:rsid w:val="49117305"/>
    <w:rsid w:val="49284D7B"/>
    <w:rsid w:val="492C1D2E"/>
    <w:rsid w:val="49374FBE"/>
    <w:rsid w:val="494551C9"/>
    <w:rsid w:val="49956188"/>
    <w:rsid w:val="49AD0F5D"/>
    <w:rsid w:val="49C83E68"/>
    <w:rsid w:val="49CB3958"/>
    <w:rsid w:val="4A04505A"/>
    <w:rsid w:val="4A154318"/>
    <w:rsid w:val="4A4A0D21"/>
    <w:rsid w:val="4A6C513B"/>
    <w:rsid w:val="4A7E09CA"/>
    <w:rsid w:val="4A7F4E6E"/>
    <w:rsid w:val="4A963F66"/>
    <w:rsid w:val="4AA30431"/>
    <w:rsid w:val="4AAC19DB"/>
    <w:rsid w:val="4AB4263E"/>
    <w:rsid w:val="4B005883"/>
    <w:rsid w:val="4B12572C"/>
    <w:rsid w:val="4B3F0159"/>
    <w:rsid w:val="4B524331"/>
    <w:rsid w:val="4B62342E"/>
    <w:rsid w:val="4BA44460"/>
    <w:rsid w:val="4BB548C0"/>
    <w:rsid w:val="4BCD7E5B"/>
    <w:rsid w:val="4BEB02E1"/>
    <w:rsid w:val="4C2F6420"/>
    <w:rsid w:val="4C3025F1"/>
    <w:rsid w:val="4C3E48B5"/>
    <w:rsid w:val="4C4A14AC"/>
    <w:rsid w:val="4C4D4AF8"/>
    <w:rsid w:val="4C516396"/>
    <w:rsid w:val="4C602A7D"/>
    <w:rsid w:val="4C806C7C"/>
    <w:rsid w:val="4C9D5A7F"/>
    <w:rsid w:val="4C9E5354"/>
    <w:rsid w:val="4CA23096"/>
    <w:rsid w:val="4CF520D9"/>
    <w:rsid w:val="4D0F7FFF"/>
    <w:rsid w:val="4D16138E"/>
    <w:rsid w:val="4D245859"/>
    <w:rsid w:val="4D3857A8"/>
    <w:rsid w:val="4D88228C"/>
    <w:rsid w:val="4D8E361A"/>
    <w:rsid w:val="4D8E53C8"/>
    <w:rsid w:val="4DA1334D"/>
    <w:rsid w:val="4DA478AD"/>
    <w:rsid w:val="4DBC1F35"/>
    <w:rsid w:val="4DBF37D4"/>
    <w:rsid w:val="4DC1579E"/>
    <w:rsid w:val="4DCE3A17"/>
    <w:rsid w:val="4E402B66"/>
    <w:rsid w:val="4E4876A5"/>
    <w:rsid w:val="4E516B22"/>
    <w:rsid w:val="4E54216E"/>
    <w:rsid w:val="4E594FF4"/>
    <w:rsid w:val="4E8A3DE2"/>
    <w:rsid w:val="4E9C3BCC"/>
    <w:rsid w:val="4EE771E2"/>
    <w:rsid w:val="4EEA2AD2"/>
    <w:rsid w:val="4EEB3586"/>
    <w:rsid w:val="4EF9194B"/>
    <w:rsid w:val="4F2A1121"/>
    <w:rsid w:val="4F3F510F"/>
    <w:rsid w:val="4F42646A"/>
    <w:rsid w:val="4F5A37B4"/>
    <w:rsid w:val="4F7B6DCD"/>
    <w:rsid w:val="4F8151E4"/>
    <w:rsid w:val="4FAD6032"/>
    <w:rsid w:val="4FB947AA"/>
    <w:rsid w:val="4FBF5D0D"/>
    <w:rsid w:val="4FCE41A2"/>
    <w:rsid w:val="4FF359B6"/>
    <w:rsid w:val="4FFD0EF1"/>
    <w:rsid w:val="500D6A78"/>
    <w:rsid w:val="50146D57"/>
    <w:rsid w:val="50250266"/>
    <w:rsid w:val="50281B04"/>
    <w:rsid w:val="504F0E3F"/>
    <w:rsid w:val="50650662"/>
    <w:rsid w:val="5075461D"/>
    <w:rsid w:val="50B74C36"/>
    <w:rsid w:val="50BB2978"/>
    <w:rsid w:val="50C57353"/>
    <w:rsid w:val="50C7131D"/>
    <w:rsid w:val="51071719"/>
    <w:rsid w:val="510936E3"/>
    <w:rsid w:val="510E0CFA"/>
    <w:rsid w:val="51172F9F"/>
    <w:rsid w:val="511A41BF"/>
    <w:rsid w:val="51271DBC"/>
    <w:rsid w:val="51532795"/>
    <w:rsid w:val="51695F30"/>
    <w:rsid w:val="516C3C72"/>
    <w:rsid w:val="51B82A14"/>
    <w:rsid w:val="51B86EB8"/>
    <w:rsid w:val="51BC5C5D"/>
    <w:rsid w:val="51C24B94"/>
    <w:rsid w:val="51E1640E"/>
    <w:rsid w:val="51F55A16"/>
    <w:rsid w:val="51FF6894"/>
    <w:rsid w:val="5201257C"/>
    <w:rsid w:val="52311B45"/>
    <w:rsid w:val="52691F60"/>
    <w:rsid w:val="52A336C4"/>
    <w:rsid w:val="52A66D10"/>
    <w:rsid w:val="52BD6456"/>
    <w:rsid w:val="52D95337"/>
    <w:rsid w:val="532760A3"/>
    <w:rsid w:val="533B1B4E"/>
    <w:rsid w:val="53486019"/>
    <w:rsid w:val="534A3B3F"/>
    <w:rsid w:val="53591FD4"/>
    <w:rsid w:val="53683F40"/>
    <w:rsid w:val="536A2750"/>
    <w:rsid w:val="536C0A8D"/>
    <w:rsid w:val="536C61AC"/>
    <w:rsid w:val="53894668"/>
    <w:rsid w:val="538A5F1E"/>
    <w:rsid w:val="539D601D"/>
    <w:rsid w:val="53DD49B3"/>
    <w:rsid w:val="53E43F94"/>
    <w:rsid w:val="53E915AA"/>
    <w:rsid w:val="53F00B8B"/>
    <w:rsid w:val="53F32429"/>
    <w:rsid w:val="53F8359B"/>
    <w:rsid w:val="54077C82"/>
    <w:rsid w:val="54751090"/>
    <w:rsid w:val="547F3CBD"/>
    <w:rsid w:val="54837309"/>
    <w:rsid w:val="54890697"/>
    <w:rsid w:val="54996B2C"/>
    <w:rsid w:val="549A28A4"/>
    <w:rsid w:val="54A75C14"/>
    <w:rsid w:val="54C05F9B"/>
    <w:rsid w:val="54C55B73"/>
    <w:rsid w:val="54D45DB6"/>
    <w:rsid w:val="54D71BBA"/>
    <w:rsid w:val="54F975CB"/>
    <w:rsid w:val="54FC530D"/>
    <w:rsid w:val="5539030F"/>
    <w:rsid w:val="55A25EB5"/>
    <w:rsid w:val="55C71477"/>
    <w:rsid w:val="55C951EF"/>
    <w:rsid w:val="55E0078B"/>
    <w:rsid w:val="55E62245"/>
    <w:rsid w:val="56024BA5"/>
    <w:rsid w:val="56026953"/>
    <w:rsid w:val="560C1580"/>
    <w:rsid w:val="56292132"/>
    <w:rsid w:val="56350AD7"/>
    <w:rsid w:val="564E1B99"/>
    <w:rsid w:val="569A4DDE"/>
    <w:rsid w:val="56AC3D25"/>
    <w:rsid w:val="56B0015D"/>
    <w:rsid w:val="56B7773E"/>
    <w:rsid w:val="56CF2CD9"/>
    <w:rsid w:val="56FE0B98"/>
    <w:rsid w:val="571132F2"/>
    <w:rsid w:val="5726041F"/>
    <w:rsid w:val="572B1EDA"/>
    <w:rsid w:val="57413F34"/>
    <w:rsid w:val="57445BAF"/>
    <w:rsid w:val="57527466"/>
    <w:rsid w:val="577675F9"/>
    <w:rsid w:val="57821FCB"/>
    <w:rsid w:val="579B2BBB"/>
    <w:rsid w:val="57A06D7A"/>
    <w:rsid w:val="57BB14B0"/>
    <w:rsid w:val="57D16F79"/>
    <w:rsid w:val="57DD31D4"/>
    <w:rsid w:val="57F81DBC"/>
    <w:rsid w:val="57F95B34"/>
    <w:rsid w:val="580C3AB9"/>
    <w:rsid w:val="5834469F"/>
    <w:rsid w:val="5838665C"/>
    <w:rsid w:val="583E407C"/>
    <w:rsid w:val="58676F42"/>
    <w:rsid w:val="587527B8"/>
    <w:rsid w:val="58767185"/>
    <w:rsid w:val="58773629"/>
    <w:rsid w:val="588D5626"/>
    <w:rsid w:val="58BA3515"/>
    <w:rsid w:val="58D8399B"/>
    <w:rsid w:val="58D97BD3"/>
    <w:rsid w:val="58E42340"/>
    <w:rsid w:val="596C4444"/>
    <w:rsid w:val="59736FAA"/>
    <w:rsid w:val="598D4786"/>
    <w:rsid w:val="59A87812"/>
    <w:rsid w:val="59FA62BF"/>
    <w:rsid w:val="59FC376B"/>
    <w:rsid w:val="5A2040C5"/>
    <w:rsid w:val="5A311DCE"/>
    <w:rsid w:val="5A5A7FB5"/>
    <w:rsid w:val="5A932270"/>
    <w:rsid w:val="5AA601F5"/>
    <w:rsid w:val="5AE42ACB"/>
    <w:rsid w:val="5AFA22EF"/>
    <w:rsid w:val="5B0942E0"/>
    <w:rsid w:val="5B215ACE"/>
    <w:rsid w:val="5B4B2A39"/>
    <w:rsid w:val="5B6B6D49"/>
    <w:rsid w:val="5B70435F"/>
    <w:rsid w:val="5B762D1A"/>
    <w:rsid w:val="5B7F6563"/>
    <w:rsid w:val="5BAA7871"/>
    <w:rsid w:val="5BC326E1"/>
    <w:rsid w:val="5BCF63A9"/>
    <w:rsid w:val="5BE865EB"/>
    <w:rsid w:val="5C2A09B2"/>
    <w:rsid w:val="5C5B0B6B"/>
    <w:rsid w:val="5C5D2B35"/>
    <w:rsid w:val="5C5F065B"/>
    <w:rsid w:val="5C6739B4"/>
    <w:rsid w:val="5C983B6D"/>
    <w:rsid w:val="5CD252D1"/>
    <w:rsid w:val="5D2C0F26"/>
    <w:rsid w:val="5D323FC2"/>
    <w:rsid w:val="5D3C6BEF"/>
    <w:rsid w:val="5D494E68"/>
    <w:rsid w:val="5D5C2DED"/>
    <w:rsid w:val="5D861C18"/>
    <w:rsid w:val="5D9C58DF"/>
    <w:rsid w:val="5DAB167E"/>
    <w:rsid w:val="5DB04EE7"/>
    <w:rsid w:val="5DB22A0D"/>
    <w:rsid w:val="5DBE13B2"/>
    <w:rsid w:val="5DEA21A7"/>
    <w:rsid w:val="5DF43025"/>
    <w:rsid w:val="5E0314BA"/>
    <w:rsid w:val="5E0771FD"/>
    <w:rsid w:val="5E272D49"/>
    <w:rsid w:val="5E3616AF"/>
    <w:rsid w:val="5E5F0DE7"/>
    <w:rsid w:val="5E6463FD"/>
    <w:rsid w:val="5EAE1426"/>
    <w:rsid w:val="5EBA41F7"/>
    <w:rsid w:val="5ECE3876"/>
    <w:rsid w:val="5ED66BCF"/>
    <w:rsid w:val="5EDB19DD"/>
    <w:rsid w:val="5F225970"/>
    <w:rsid w:val="5F70492E"/>
    <w:rsid w:val="5F9A19AB"/>
    <w:rsid w:val="5FB921BD"/>
    <w:rsid w:val="5FBF3369"/>
    <w:rsid w:val="5FE315A4"/>
    <w:rsid w:val="5FEB7114"/>
    <w:rsid w:val="5FF84015"/>
    <w:rsid w:val="5FFB73B6"/>
    <w:rsid w:val="60145C01"/>
    <w:rsid w:val="60196D73"/>
    <w:rsid w:val="60396BAB"/>
    <w:rsid w:val="6088744F"/>
    <w:rsid w:val="608E7761"/>
    <w:rsid w:val="60A800F7"/>
    <w:rsid w:val="60BB607C"/>
    <w:rsid w:val="60C413D5"/>
    <w:rsid w:val="60E05AE3"/>
    <w:rsid w:val="60F878A0"/>
    <w:rsid w:val="610D086E"/>
    <w:rsid w:val="61532759"/>
    <w:rsid w:val="616404C2"/>
    <w:rsid w:val="61693D2A"/>
    <w:rsid w:val="618D5C6B"/>
    <w:rsid w:val="619D39D4"/>
    <w:rsid w:val="61A46B11"/>
    <w:rsid w:val="61E11B13"/>
    <w:rsid w:val="61EB2991"/>
    <w:rsid w:val="61FC06FB"/>
    <w:rsid w:val="620F6680"/>
    <w:rsid w:val="6256605D"/>
    <w:rsid w:val="62606EDB"/>
    <w:rsid w:val="62A0377C"/>
    <w:rsid w:val="62A96AD4"/>
    <w:rsid w:val="63147CC6"/>
    <w:rsid w:val="632105B4"/>
    <w:rsid w:val="633B34A5"/>
    <w:rsid w:val="634C3904"/>
    <w:rsid w:val="635822A8"/>
    <w:rsid w:val="6370314E"/>
    <w:rsid w:val="63780255"/>
    <w:rsid w:val="638C3D00"/>
    <w:rsid w:val="638D1F52"/>
    <w:rsid w:val="63AE011A"/>
    <w:rsid w:val="63B270A2"/>
    <w:rsid w:val="63B53257"/>
    <w:rsid w:val="63CE60C7"/>
    <w:rsid w:val="63D25BB7"/>
    <w:rsid w:val="641461CF"/>
    <w:rsid w:val="64153CF6"/>
    <w:rsid w:val="6449399F"/>
    <w:rsid w:val="645C7B76"/>
    <w:rsid w:val="64630F05"/>
    <w:rsid w:val="64BE25DF"/>
    <w:rsid w:val="64F23B79"/>
    <w:rsid w:val="650A1380"/>
    <w:rsid w:val="65420B1A"/>
    <w:rsid w:val="65654809"/>
    <w:rsid w:val="659B022A"/>
    <w:rsid w:val="659F5F6D"/>
    <w:rsid w:val="65B57F02"/>
    <w:rsid w:val="65B65064"/>
    <w:rsid w:val="65E9543A"/>
    <w:rsid w:val="65ED1C09"/>
    <w:rsid w:val="65F63CF3"/>
    <w:rsid w:val="65FE0EE5"/>
    <w:rsid w:val="66061B48"/>
    <w:rsid w:val="66087601"/>
    <w:rsid w:val="660E6C4E"/>
    <w:rsid w:val="661A55F3"/>
    <w:rsid w:val="66214BD4"/>
    <w:rsid w:val="6646288C"/>
    <w:rsid w:val="66703465"/>
    <w:rsid w:val="668B64F1"/>
    <w:rsid w:val="66A7157D"/>
    <w:rsid w:val="66B9305E"/>
    <w:rsid w:val="66D24120"/>
    <w:rsid w:val="66F422E8"/>
    <w:rsid w:val="671D04B7"/>
    <w:rsid w:val="67B57CC9"/>
    <w:rsid w:val="681F15E7"/>
    <w:rsid w:val="682409AB"/>
    <w:rsid w:val="68460921"/>
    <w:rsid w:val="686E1C26"/>
    <w:rsid w:val="687F5BE1"/>
    <w:rsid w:val="689E69AF"/>
    <w:rsid w:val="68C44E48"/>
    <w:rsid w:val="68E44A7D"/>
    <w:rsid w:val="68F4037D"/>
    <w:rsid w:val="68F465CF"/>
    <w:rsid w:val="69272501"/>
    <w:rsid w:val="69513A22"/>
    <w:rsid w:val="69586B5E"/>
    <w:rsid w:val="6965127B"/>
    <w:rsid w:val="69714AFC"/>
    <w:rsid w:val="69823BDB"/>
    <w:rsid w:val="6985191D"/>
    <w:rsid w:val="69877444"/>
    <w:rsid w:val="698931BC"/>
    <w:rsid w:val="69A41DA4"/>
    <w:rsid w:val="69AB1384"/>
    <w:rsid w:val="69CE4E6D"/>
    <w:rsid w:val="69CE6E20"/>
    <w:rsid w:val="6A6432E1"/>
    <w:rsid w:val="6A723C50"/>
    <w:rsid w:val="6A845731"/>
    <w:rsid w:val="6AA302AD"/>
    <w:rsid w:val="6AC02C0D"/>
    <w:rsid w:val="6AD40467"/>
    <w:rsid w:val="6AE54422"/>
    <w:rsid w:val="6AF503DD"/>
    <w:rsid w:val="6AF6662F"/>
    <w:rsid w:val="6B293C1E"/>
    <w:rsid w:val="6B6537B4"/>
    <w:rsid w:val="6B92605F"/>
    <w:rsid w:val="6B9F03FA"/>
    <w:rsid w:val="6BA3608B"/>
    <w:rsid w:val="6BB12556"/>
    <w:rsid w:val="6BB34520"/>
    <w:rsid w:val="6BD864AF"/>
    <w:rsid w:val="6BEC7A20"/>
    <w:rsid w:val="6C0E1756"/>
    <w:rsid w:val="6C4D6722"/>
    <w:rsid w:val="6C523D39"/>
    <w:rsid w:val="6C88775B"/>
    <w:rsid w:val="6C891725"/>
    <w:rsid w:val="6CA732C1"/>
    <w:rsid w:val="6CAE4CE7"/>
    <w:rsid w:val="6CC4275D"/>
    <w:rsid w:val="6CD26C28"/>
    <w:rsid w:val="6CD56A99"/>
    <w:rsid w:val="6D082649"/>
    <w:rsid w:val="6D0A2431"/>
    <w:rsid w:val="6D2F5E28"/>
    <w:rsid w:val="6D3451EC"/>
    <w:rsid w:val="6D350F65"/>
    <w:rsid w:val="6D4A0EB4"/>
    <w:rsid w:val="6D5B4E6F"/>
    <w:rsid w:val="6D5C4743"/>
    <w:rsid w:val="6D6331C4"/>
    <w:rsid w:val="6D6655C2"/>
    <w:rsid w:val="6D806684"/>
    <w:rsid w:val="6D9126D1"/>
    <w:rsid w:val="6D9E4D5C"/>
    <w:rsid w:val="6DC72505"/>
    <w:rsid w:val="6E0A23F1"/>
    <w:rsid w:val="6E0E7C22"/>
    <w:rsid w:val="6E105C5A"/>
    <w:rsid w:val="6E250FD9"/>
    <w:rsid w:val="6E7A30D3"/>
    <w:rsid w:val="6E9248C1"/>
    <w:rsid w:val="6EB81E4D"/>
    <w:rsid w:val="6ECB1B80"/>
    <w:rsid w:val="6ED22F0F"/>
    <w:rsid w:val="6EED1AF7"/>
    <w:rsid w:val="6EFF5CCE"/>
    <w:rsid w:val="6F2F210F"/>
    <w:rsid w:val="6F8256B0"/>
    <w:rsid w:val="6F8561D3"/>
    <w:rsid w:val="6FA04DBB"/>
    <w:rsid w:val="6FAA487E"/>
    <w:rsid w:val="6FBB39A3"/>
    <w:rsid w:val="6FDF7997"/>
    <w:rsid w:val="70052E70"/>
    <w:rsid w:val="702A0B29"/>
    <w:rsid w:val="702A28D7"/>
    <w:rsid w:val="7036127C"/>
    <w:rsid w:val="70643DB9"/>
    <w:rsid w:val="70757FF6"/>
    <w:rsid w:val="707B1384"/>
    <w:rsid w:val="70822713"/>
    <w:rsid w:val="70A94143"/>
    <w:rsid w:val="70C96594"/>
    <w:rsid w:val="70D016D0"/>
    <w:rsid w:val="70F25AEA"/>
    <w:rsid w:val="70F42B31"/>
    <w:rsid w:val="71123A97"/>
    <w:rsid w:val="711F4406"/>
    <w:rsid w:val="713779A1"/>
    <w:rsid w:val="715379A3"/>
    <w:rsid w:val="71687B5B"/>
    <w:rsid w:val="716F2C97"/>
    <w:rsid w:val="71A46EE4"/>
    <w:rsid w:val="71A60683"/>
    <w:rsid w:val="720B16BC"/>
    <w:rsid w:val="720D24B0"/>
    <w:rsid w:val="723920F5"/>
    <w:rsid w:val="72444124"/>
    <w:rsid w:val="72767188"/>
    <w:rsid w:val="727A5D97"/>
    <w:rsid w:val="727E6F0A"/>
    <w:rsid w:val="72866D81"/>
    <w:rsid w:val="72AB765B"/>
    <w:rsid w:val="72AF5315"/>
    <w:rsid w:val="72DD6326"/>
    <w:rsid w:val="72F35429"/>
    <w:rsid w:val="732D2E0A"/>
    <w:rsid w:val="733D0EC9"/>
    <w:rsid w:val="734576C0"/>
    <w:rsid w:val="735A7977"/>
    <w:rsid w:val="73CD1EF7"/>
    <w:rsid w:val="73D2750D"/>
    <w:rsid w:val="74016CFC"/>
    <w:rsid w:val="74273CFD"/>
    <w:rsid w:val="743261FE"/>
    <w:rsid w:val="743D1AC6"/>
    <w:rsid w:val="7443040B"/>
    <w:rsid w:val="74674908"/>
    <w:rsid w:val="74730CF0"/>
    <w:rsid w:val="749F1AE5"/>
    <w:rsid w:val="74C27582"/>
    <w:rsid w:val="74EE0377"/>
    <w:rsid w:val="752C1A9F"/>
    <w:rsid w:val="753F5076"/>
    <w:rsid w:val="755C1784"/>
    <w:rsid w:val="756248C1"/>
    <w:rsid w:val="7596337E"/>
    <w:rsid w:val="75B3511C"/>
    <w:rsid w:val="75BF3AC1"/>
    <w:rsid w:val="75C630A2"/>
    <w:rsid w:val="75D532E5"/>
    <w:rsid w:val="75DF462B"/>
    <w:rsid w:val="75E43528"/>
    <w:rsid w:val="75FC2F67"/>
    <w:rsid w:val="760E0CF3"/>
    <w:rsid w:val="76107B3E"/>
    <w:rsid w:val="76206C56"/>
    <w:rsid w:val="76366479"/>
    <w:rsid w:val="763F1B26"/>
    <w:rsid w:val="768C6099"/>
    <w:rsid w:val="76912177"/>
    <w:rsid w:val="76A71125"/>
    <w:rsid w:val="76FB6D7B"/>
    <w:rsid w:val="770E2F52"/>
    <w:rsid w:val="77185B7F"/>
    <w:rsid w:val="77286F9E"/>
    <w:rsid w:val="7733135F"/>
    <w:rsid w:val="77471FC0"/>
    <w:rsid w:val="77514BED"/>
    <w:rsid w:val="775C1F10"/>
    <w:rsid w:val="775D17E4"/>
    <w:rsid w:val="775D7A36"/>
    <w:rsid w:val="77884AB3"/>
    <w:rsid w:val="779F0687"/>
    <w:rsid w:val="77A1631C"/>
    <w:rsid w:val="77A318EC"/>
    <w:rsid w:val="77C81353"/>
    <w:rsid w:val="77C90C27"/>
    <w:rsid w:val="77DC095A"/>
    <w:rsid w:val="77DF669D"/>
    <w:rsid w:val="77EC7614"/>
    <w:rsid w:val="77F02658"/>
    <w:rsid w:val="77F11957"/>
    <w:rsid w:val="782B3690"/>
    <w:rsid w:val="78370287"/>
    <w:rsid w:val="784309DA"/>
    <w:rsid w:val="78436C2C"/>
    <w:rsid w:val="784C1F84"/>
    <w:rsid w:val="785C7CED"/>
    <w:rsid w:val="78727511"/>
    <w:rsid w:val="78852DA0"/>
    <w:rsid w:val="788F00C3"/>
    <w:rsid w:val="78CC6C21"/>
    <w:rsid w:val="78D43D28"/>
    <w:rsid w:val="78D67AA0"/>
    <w:rsid w:val="78D855C6"/>
    <w:rsid w:val="78DD5F7E"/>
    <w:rsid w:val="78EA52F9"/>
    <w:rsid w:val="79000CCB"/>
    <w:rsid w:val="792A3948"/>
    <w:rsid w:val="793D1F74"/>
    <w:rsid w:val="794554EB"/>
    <w:rsid w:val="7962698E"/>
    <w:rsid w:val="797F1EE5"/>
    <w:rsid w:val="79975481"/>
    <w:rsid w:val="79BC4EE7"/>
    <w:rsid w:val="79E93C90"/>
    <w:rsid w:val="7A1C5986"/>
    <w:rsid w:val="7A4B0019"/>
    <w:rsid w:val="7A4C15A9"/>
    <w:rsid w:val="7A5A025C"/>
    <w:rsid w:val="7A5B64AE"/>
    <w:rsid w:val="7A7B26AD"/>
    <w:rsid w:val="7A8E43D0"/>
    <w:rsid w:val="7AA91FC1"/>
    <w:rsid w:val="7AB43E11"/>
    <w:rsid w:val="7AB95650"/>
    <w:rsid w:val="7AC83418"/>
    <w:rsid w:val="7ADB139D"/>
    <w:rsid w:val="7B0F21BC"/>
    <w:rsid w:val="7B241751"/>
    <w:rsid w:val="7B590514"/>
    <w:rsid w:val="7B5E3C11"/>
    <w:rsid w:val="7B640A94"/>
    <w:rsid w:val="7B737828"/>
    <w:rsid w:val="7B7F7F7B"/>
    <w:rsid w:val="7BA9149B"/>
    <w:rsid w:val="7BE6624C"/>
    <w:rsid w:val="7C06244A"/>
    <w:rsid w:val="7C1F52BA"/>
    <w:rsid w:val="7C350F81"/>
    <w:rsid w:val="7C3C7C24"/>
    <w:rsid w:val="7C4B60AF"/>
    <w:rsid w:val="7C594C70"/>
    <w:rsid w:val="7C943EFA"/>
    <w:rsid w:val="7CAD6D69"/>
    <w:rsid w:val="7CCA70B9"/>
    <w:rsid w:val="7D0A7D18"/>
    <w:rsid w:val="7D3B4375"/>
    <w:rsid w:val="7D420DC8"/>
    <w:rsid w:val="7D792545"/>
    <w:rsid w:val="7D7B29C4"/>
    <w:rsid w:val="7D827C5E"/>
    <w:rsid w:val="7D944A96"/>
    <w:rsid w:val="7DAB199B"/>
    <w:rsid w:val="7DEE13E8"/>
    <w:rsid w:val="7DF12C86"/>
    <w:rsid w:val="7DF14474"/>
    <w:rsid w:val="7E500353"/>
    <w:rsid w:val="7E6E2528"/>
    <w:rsid w:val="7E8A59B9"/>
    <w:rsid w:val="7EC65EC0"/>
    <w:rsid w:val="7ED4682F"/>
    <w:rsid w:val="7F0709B3"/>
    <w:rsid w:val="7F477001"/>
    <w:rsid w:val="7F58120E"/>
    <w:rsid w:val="7F5D6825"/>
    <w:rsid w:val="7F8738A2"/>
    <w:rsid w:val="7F9D1317"/>
    <w:rsid w:val="7FB4040F"/>
    <w:rsid w:val="7FE17456"/>
    <w:rsid w:val="7FE56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60" w:lineRule="exact"/>
      <w:ind w:firstLine="200" w:firstLineChars="200"/>
      <w:jc w:val="both"/>
      <w:textAlignment w:val="baseline"/>
    </w:pPr>
    <w:rPr>
      <w:rFonts w:ascii="Arial" w:hAnsi="Arial" w:eastAsia="Arial" w:cs="Arial"/>
      <w:snapToGrid w:val="0"/>
      <w:color w:val="000000"/>
      <w:sz w:val="28"/>
      <w:szCs w:val="21"/>
      <w:lang w:val="en-US" w:eastAsia="zh-CN" w:bidi="ar-SA"/>
    </w:rPr>
  </w:style>
  <w:style w:type="paragraph" w:styleId="2">
    <w:name w:val="heading 3"/>
    <w:basedOn w:val="1"/>
    <w:next w:val="3"/>
    <w:link w:val="28"/>
    <w:autoRedefine/>
    <w:unhideWhenUsed/>
    <w:qFormat/>
    <w:uiPriority w:val="0"/>
    <w:pPr>
      <w:keepNext/>
      <w:keepLines/>
      <w:widowControl w:val="0"/>
      <w:kinsoku/>
      <w:autoSpaceDE/>
      <w:autoSpaceDN/>
      <w:adjustRightInd/>
      <w:snapToGrid/>
      <w:spacing w:beforeLines="50" w:afterLines="50" w:line="500" w:lineRule="exact"/>
      <w:ind w:firstLine="561"/>
      <w:textAlignment w:val="auto"/>
      <w:outlineLvl w:val="2"/>
    </w:pPr>
    <w:rPr>
      <w:rFonts w:ascii="Times New Roman" w:hAnsi="Times New Roman" w:eastAsia="宋体" w:cs="Times New Roman"/>
      <w:b/>
      <w:bCs/>
      <w:snapToGrid/>
      <w:color w:val="auto"/>
      <w:kern w:val="2"/>
      <w:szCs w:val="32"/>
    </w:rPr>
  </w:style>
  <w:style w:type="paragraph" w:styleId="4">
    <w:name w:val="heading 4"/>
    <w:basedOn w:val="1"/>
    <w:next w:val="1"/>
    <w:qFormat/>
    <w:uiPriority w:val="0"/>
    <w:pPr>
      <w:keepNext/>
      <w:keepLines/>
      <w:spacing w:beforeLines="50" w:afterLines="50"/>
      <w:outlineLvl w:val="3"/>
    </w:pPr>
    <w:rPr>
      <w:rFonts w:ascii="Arial" w:hAnsi="Arial"/>
      <w:b/>
      <w:bCs/>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Document Map"/>
    <w:basedOn w:val="1"/>
    <w:link w:val="29"/>
    <w:qFormat/>
    <w:uiPriority w:val="0"/>
    <w:rPr>
      <w:rFonts w:ascii="宋体" w:eastAsia="宋体"/>
      <w:sz w:val="18"/>
      <w:szCs w:val="18"/>
    </w:rPr>
  </w:style>
  <w:style w:type="paragraph" w:styleId="6">
    <w:name w:val="annotation text"/>
    <w:basedOn w:val="1"/>
    <w:qFormat/>
    <w:uiPriority w:val="0"/>
    <w:pPr>
      <w:jc w:val="left"/>
    </w:pPr>
  </w:style>
  <w:style w:type="paragraph" w:styleId="7">
    <w:name w:val="Body Text"/>
    <w:basedOn w:val="1"/>
    <w:next w:val="8"/>
    <w:link w:val="27"/>
    <w:autoRedefine/>
    <w:qFormat/>
    <w:uiPriority w:val="0"/>
    <w:pPr>
      <w:spacing w:after="120"/>
    </w:pPr>
  </w:style>
  <w:style w:type="paragraph" w:customStyle="1" w:styleId="8">
    <w:name w:val="Default"/>
    <w:next w:val="1"/>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styleId="9">
    <w:name w:val="Body Text Indent"/>
    <w:basedOn w:val="1"/>
    <w:next w:val="10"/>
    <w:link w:val="33"/>
    <w:qFormat/>
    <w:uiPriority w:val="99"/>
    <w:pPr>
      <w:spacing w:line="500" w:lineRule="exact"/>
      <w:ind w:firstLine="420"/>
    </w:pPr>
    <w:rPr>
      <w:sz w:val="32"/>
      <w:szCs w:val="20"/>
    </w:rPr>
  </w:style>
  <w:style w:type="paragraph" w:styleId="10">
    <w:name w:val="Body Text First Indent"/>
    <w:basedOn w:val="1"/>
    <w:autoRedefine/>
    <w:qFormat/>
    <w:uiPriority w:val="0"/>
    <w:pPr>
      <w:spacing w:line="440" w:lineRule="exact"/>
      <w:ind w:firstLine="504"/>
    </w:pPr>
    <w:rPr>
      <w:sz w:val="21"/>
    </w:rPr>
  </w:style>
  <w:style w:type="paragraph" w:styleId="11">
    <w:name w:val="Plain Text"/>
    <w:basedOn w:val="1"/>
    <w:next w:val="12"/>
    <w:autoRedefine/>
    <w:qFormat/>
    <w:uiPriority w:val="99"/>
    <w:rPr>
      <w:rFonts w:ascii="宋体" w:hAnsi="Courier New"/>
      <w:sz w:val="21"/>
    </w:rPr>
  </w:style>
  <w:style w:type="paragraph" w:styleId="12">
    <w:name w:val="List Number 5"/>
    <w:basedOn w:val="1"/>
    <w:next w:val="10"/>
    <w:autoRedefine/>
    <w:qFormat/>
    <w:uiPriority w:val="0"/>
    <w:pPr>
      <w:numPr>
        <w:ilvl w:val="0"/>
        <w:numId w:val="1"/>
      </w:numPr>
    </w:pPr>
  </w:style>
  <w:style w:type="paragraph" w:styleId="13">
    <w:name w:val="Balloon Text"/>
    <w:basedOn w:val="1"/>
    <w:link w:val="26"/>
    <w:autoRedefine/>
    <w:qFormat/>
    <w:uiPriority w:val="0"/>
    <w:rPr>
      <w:sz w:val="18"/>
      <w:szCs w:val="18"/>
    </w:rPr>
  </w:style>
  <w:style w:type="paragraph" w:styleId="14">
    <w:name w:val="footer"/>
    <w:basedOn w:val="1"/>
    <w:link w:val="24"/>
    <w:autoRedefine/>
    <w:qFormat/>
    <w:uiPriority w:val="99"/>
    <w:pPr>
      <w:tabs>
        <w:tab w:val="center" w:pos="4153"/>
        <w:tab w:val="right" w:pos="8306"/>
      </w:tabs>
    </w:pPr>
    <w:rPr>
      <w:sz w:val="18"/>
      <w:szCs w:val="18"/>
    </w:rPr>
  </w:style>
  <w:style w:type="paragraph" w:styleId="15">
    <w:name w:val="header"/>
    <w:basedOn w:val="1"/>
    <w:link w:val="23"/>
    <w:autoRedefine/>
    <w:qFormat/>
    <w:uiPriority w:val="0"/>
    <w:pPr>
      <w:pBdr>
        <w:bottom w:val="single" w:color="auto" w:sz="6" w:space="1"/>
      </w:pBdr>
      <w:tabs>
        <w:tab w:val="center" w:pos="4153"/>
        <w:tab w:val="right" w:pos="8306"/>
      </w:tabs>
      <w:jc w:val="center"/>
    </w:pPr>
    <w:rPr>
      <w:sz w:val="18"/>
      <w:szCs w:val="18"/>
    </w:rPr>
  </w:style>
  <w:style w:type="paragraph" w:styleId="16">
    <w:name w:val="List Continue 4"/>
    <w:basedOn w:val="1"/>
    <w:next w:val="1"/>
    <w:qFormat/>
    <w:uiPriority w:val="0"/>
    <w:pPr>
      <w:widowControl w:val="0"/>
      <w:autoSpaceDE/>
      <w:autoSpaceDN/>
      <w:spacing w:before="0" w:after="120" w:line="360" w:lineRule="auto"/>
      <w:ind w:left="1680" w:firstLine="480"/>
      <w:jc w:val="both"/>
    </w:pPr>
    <w:rPr>
      <w:rFonts w:ascii="宋体" w:eastAsia="宋体"/>
      <w:sz w:val="24"/>
    </w:rPr>
  </w:style>
  <w:style w:type="paragraph" w:styleId="17">
    <w:name w:val="Body Text First Indent 2"/>
    <w:basedOn w:val="1"/>
    <w:next w:val="16"/>
    <w:link w:val="32"/>
    <w:autoRedefine/>
    <w:qFormat/>
    <w:uiPriority w:val="99"/>
    <w:pPr>
      <w:spacing w:after="120" w:line="240" w:lineRule="auto"/>
      <w:ind w:left="420" w:leftChars="200"/>
    </w:pPr>
    <w:rPr>
      <w:sz w:val="21"/>
    </w:rPr>
  </w:style>
  <w:style w:type="character" w:styleId="20">
    <w:name w:val="annotation reference"/>
    <w:basedOn w:val="19"/>
    <w:autoRedefine/>
    <w:qFormat/>
    <w:uiPriority w:val="0"/>
    <w:rPr>
      <w:sz w:val="21"/>
      <w:szCs w:val="21"/>
    </w:rPr>
  </w:style>
  <w:style w:type="paragraph" w:customStyle="1" w:styleId="21">
    <w:name w:val="xx正文"/>
    <w:basedOn w:val="1"/>
    <w:qFormat/>
    <w:uiPriority w:val="0"/>
    <w:rPr>
      <w:szCs w:val="28"/>
    </w:rPr>
  </w:style>
  <w:style w:type="table" w:customStyle="1" w:styleId="22">
    <w:name w:val="Table Normal"/>
    <w:autoRedefine/>
    <w:qFormat/>
    <w:uiPriority w:val="0"/>
    <w:tblPr>
      <w:tblCellMar>
        <w:top w:w="0" w:type="dxa"/>
        <w:left w:w="0" w:type="dxa"/>
        <w:bottom w:w="0" w:type="dxa"/>
        <w:right w:w="0" w:type="dxa"/>
      </w:tblCellMar>
    </w:tblPr>
  </w:style>
  <w:style w:type="character" w:customStyle="1" w:styleId="23">
    <w:name w:val="页眉 字符"/>
    <w:basedOn w:val="19"/>
    <w:link w:val="15"/>
    <w:autoRedefine/>
    <w:qFormat/>
    <w:uiPriority w:val="0"/>
    <w:rPr>
      <w:rFonts w:eastAsia="Arial"/>
      <w:snapToGrid w:val="0"/>
      <w:color w:val="000000"/>
      <w:sz w:val="18"/>
      <w:szCs w:val="18"/>
    </w:rPr>
  </w:style>
  <w:style w:type="character" w:customStyle="1" w:styleId="24">
    <w:name w:val="页脚 字符"/>
    <w:basedOn w:val="19"/>
    <w:link w:val="14"/>
    <w:autoRedefine/>
    <w:qFormat/>
    <w:uiPriority w:val="99"/>
    <w:rPr>
      <w:rFonts w:eastAsia="Arial"/>
      <w:snapToGrid w:val="0"/>
      <w:color w:val="000000"/>
      <w:sz w:val="18"/>
      <w:szCs w:val="18"/>
    </w:rPr>
  </w:style>
  <w:style w:type="paragraph" w:styleId="25">
    <w:name w:val="List Paragraph"/>
    <w:basedOn w:val="1"/>
    <w:autoRedefine/>
    <w:qFormat/>
    <w:uiPriority w:val="99"/>
    <w:pPr>
      <w:ind w:firstLine="420"/>
    </w:pPr>
  </w:style>
  <w:style w:type="character" w:customStyle="1" w:styleId="26">
    <w:name w:val="批注框文本 字符"/>
    <w:basedOn w:val="19"/>
    <w:link w:val="13"/>
    <w:autoRedefine/>
    <w:qFormat/>
    <w:uiPriority w:val="0"/>
    <w:rPr>
      <w:rFonts w:eastAsia="Arial"/>
      <w:snapToGrid w:val="0"/>
      <w:color w:val="000000"/>
      <w:sz w:val="18"/>
      <w:szCs w:val="18"/>
    </w:rPr>
  </w:style>
  <w:style w:type="character" w:customStyle="1" w:styleId="27">
    <w:name w:val="正文文本 字符"/>
    <w:basedOn w:val="19"/>
    <w:link w:val="7"/>
    <w:autoRedefine/>
    <w:qFormat/>
    <w:uiPriority w:val="0"/>
    <w:rPr>
      <w:rFonts w:eastAsia="Arial"/>
      <w:snapToGrid w:val="0"/>
      <w:color w:val="000000"/>
      <w:sz w:val="21"/>
      <w:szCs w:val="21"/>
    </w:rPr>
  </w:style>
  <w:style w:type="character" w:customStyle="1" w:styleId="28">
    <w:name w:val="标题 3 字符"/>
    <w:basedOn w:val="19"/>
    <w:link w:val="2"/>
    <w:autoRedefine/>
    <w:qFormat/>
    <w:uiPriority w:val="0"/>
    <w:rPr>
      <w:rFonts w:ascii="Times New Roman" w:hAnsi="Times New Roman" w:cs="Times New Roman"/>
      <w:b/>
      <w:bCs/>
      <w:kern w:val="2"/>
      <w:sz w:val="28"/>
      <w:szCs w:val="32"/>
    </w:rPr>
  </w:style>
  <w:style w:type="character" w:customStyle="1" w:styleId="29">
    <w:name w:val="文档结构图 字符"/>
    <w:basedOn w:val="19"/>
    <w:link w:val="5"/>
    <w:autoRedefine/>
    <w:qFormat/>
    <w:uiPriority w:val="0"/>
    <w:rPr>
      <w:rFonts w:ascii="宋体"/>
      <w:snapToGrid w:val="0"/>
      <w:color w:val="000000"/>
      <w:sz w:val="18"/>
      <w:szCs w:val="18"/>
    </w:rPr>
  </w:style>
  <w:style w:type="paragraph" w:customStyle="1" w:styleId="30">
    <w:name w:val="表格"/>
    <w:basedOn w:val="1"/>
    <w:link w:val="31"/>
    <w:autoRedefine/>
    <w:qFormat/>
    <w:uiPriority w:val="0"/>
    <w:pPr>
      <w:spacing w:line="240" w:lineRule="auto"/>
      <w:ind w:firstLine="0" w:firstLineChars="0"/>
      <w:jc w:val="center"/>
    </w:pPr>
    <w:rPr>
      <w:rFonts w:ascii="宋体" w:hAnsi="宋体" w:eastAsia="仿宋" w:cs="宋体"/>
      <w:sz w:val="21"/>
    </w:rPr>
  </w:style>
  <w:style w:type="character" w:customStyle="1" w:styleId="31">
    <w:name w:val="表格 字符"/>
    <w:basedOn w:val="19"/>
    <w:link w:val="30"/>
    <w:autoRedefine/>
    <w:qFormat/>
    <w:uiPriority w:val="0"/>
    <w:rPr>
      <w:rFonts w:ascii="宋体" w:hAnsi="宋体" w:eastAsia="仿宋" w:cs="宋体"/>
      <w:snapToGrid w:val="0"/>
      <w:color w:val="000000"/>
      <w:sz w:val="21"/>
      <w:szCs w:val="21"/>
    </w:rPr>
  </w:style>
  <w:style w:type="character" w:customStyle="1" w:styleId="32">
    <w:name w:val="正文首行缩进 2 字符"/>
    <w:basedOn w:val="33"/>
    <w:link w:val="17"/>
    <w:autoRedefine/>
    <w:qFormat/>
    <w:uiPriority w:val="0"/>
    <w:rPr>
      <w:kern w:val="2"/>
      <w:sz w:val="28"/>
      <w:szCs w:val="24"/>
    </w:rPr>
  </w:style>
  <w:style w:type="character" w:customStyle="1" w:styleId="33">
    <w:name w:val="正文文本缩进 字符"/>
    <w:basedOn w:val="19"/>
    <w:link w:val="9"/>
    <w:autoRedefine/>
    <w:qFormat/>
    <w:uiPriority w:val="0"/>
    <w:rPr>
      <w:kern w:val="2"/>
      <w:sz w:val="28"/>
      <w:szCs w:val="24"/>
    </w:rPr>
  </w:style>
  <w:style w:type="paragraph" w:customStyle="1" w:styleId="34">
    <w:name w:val="别动"/>
    <w:basedOn w:val="35"/>
    <w:qFormat/>
    <w:uiPriority w:val="0"/>
    <w:pPr>
      <w:spacing w:line="340" w:lineRule="exact"/>
    </w:pPr>
    <w:rPr>
      <w:rFonts w:ascii="Times New Roman" w:hAnsi="Times New Roman" w:eastAsia="宋体"/>
      <w:b w:val="0"/>
      <w:sz w:val="21"/>
    </w:rPr>
  </w:style>
  <w:style w:type="paragraph" w:customStyle="1" w:styleId="35">
    <w:name w:val="表头"/>
    <w:basedOn w:val="1"/>
    <w:next w:val="34"/>
    <w:qFormat/>
    <w:uiPriority w:val="0"/>
    <w:pPr>
      <w:spacing w:line="240" w:lineRule="auto"/>
      <w:ind w:firstLine="0" w:firstLineChars="0"/>
      <w:jc w:val="center"/>
    </w:pPr>
    <w:rPr>
      <w:rFonts w:hint="eastAsia" w:cs="Times New Roman"/>
      <w:b/>
      <w:szCs w:val="20"/>
    </w:rPr>
  </w:style>
  <w:style w:type="paragraph" w:customStyle="1" w:styleId="36">
    <w:name w:val="Char121"/>
    <w:basedOn w:val="1"/>
    <w:autoRedefine/>
    <w:qFormat/>
    <w:uiPriority w:val="0"/>
    <w:pPr>
      <w:spacing w:line="240" w:lineRule="auto"/>
      <w:ind w:firstLine="0" w:firstLineChars="0"/>
      <w:jc w:val="both"/>
    </w:pPr>
    <w:rPr>
      <w:rFonts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6308</Words>
  <Characters>6824</Characters>
  <Lines>62</Lines>
  <Paragraphs>17</Paragraphs>
  <TotalTime>3</TotalTime>
  <ScaleCrop>false</ScaleCrop>
  <LinksUpToDate>false</LinksUpToDate>
  <CharactersWithSpaces>6866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2021-12-29T17:45:00Z</dcterms:created>
  <dc:creator>游明华(办公室)</dc:creator>
  <cp:lastModifiedBy>Administrator</cp:lastModifiedBy>
  <cp:lastPrinted>2022-02-10T10:24:00Z</cp:lastPrinted>
  <dcterms:modified xsi:type="dcterms:W3CDTF">2026-05-21T09:36:14Z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2052-12.1.0.24034</vt:lpwstr>
  </property>
  <property fmtid="{D5CDD505-2E9C-101B-9397-08002B2CF9AE}" pid="5" name="ICV">
    <vt:lpwstr>F94AAAEE0494405AAD40633F07FB415F_13</vt:lpwstr>
  </property>
  <property fmtid="{D5CDD505-2E9C-101B-9397-08002B2CF9AE}" pid="6" name="KSOTemplateDocerSaveRecord">
    <vt:lpwstr>eyJoZGlkIjoiMDJiMDlkNTI1NzEyZWU4ZmIyODlkZmY5NGQ0N2NiZDUifQ==</vt:lpwstr>
  </property>
</Properties>
</file>