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45A85">
      <w:pPr>
        <w:spacing w:line="360" w:lineRule="auto"/>
        <w:jc w:val="center"/>
        <w:rPr>
          <w:rFonts w:hint="eastAsia"/>
          <w:b/>
          <w:bCs/>
          <w:sz w:val="36"/>
          <w:szCs w:val="36"/>
        </w:rPr>
      </w:pPr>
      <w:r>
        <w:rPr>
          <w:rFonts w:hint="eastAsia"/>
          <w:b/>
          <w:sz w:val="36"/>
          <w:szCs w:val="36"/>
        </w:rPr>
        <w:t>对《</w:t>
      </w:r>
      <w:r>
        <w:rPr>
          <w:rFonts w:hint="eastAsia"/>
          <w:b/>
          <w:sz w:val="36"/>
          <w:szCs w:val="36"/>
          <w:lang w:val="en-US" w:eastAsia="zh-CN"/>
        </w:rPr>
        <w:t>新疆察布查尔县坎乡1号砂石矿矿产资源开发利用与生态保护修复方案</w:t>
      </w:r>
      <w:r>
        <w:rPr>
          <w:rFonts w:hint="eastAsia"/>
          <w:b/>
          <w:sz w:val="36"/>
          <w:szCs w:val="36"/>
        </w:rPr>
        <w:t>》</w:t>
      </w:r>
      <w:r>
        <w:rPr>
          <w:rFonts w:hint="eastAsia"/>
          <w:b/>
          <w:bCs/>
          <w:sz w:val="36"/>
          <w:szCs w:val="36"/>
        </w:rPr>
        <w:t>审查意见</w:t>
      </w:r>
    </w:p>
    <w:p w14:paraId="059DB74B">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lang w:val="en-US" w:eastAsia="zh-CN"/>
        </w:rPr>
        <w:t>新疆察布查尔县坎乡1号砂石矿矿产资源开发利用与生态保护修复方案</w:t>
      </w:r>
      <w:r>
        <w:rPr>
          <w:rFonts w:hint="eastAsia" w:ascii="Times New Roman" w:hAnsi="Times New Roman" w:eastAsia="方正仿宋简体" w:cs="方正仿宋简体"/>
          <w:sz w:val="32"/>
          <w:szCs w:val="32"/>
        </w:rPr>
        <w:t>）》（以下简称《方案》）是由</w:t>
      </w:r>
      <w:r>
        <w:rPr>
          <w:rFonts w:hint="eastAsia" w:ascii="Times New Roman" w:hAnsi="Times New Roman" w:eastAsia="方正仿宋简体" w:cs="方正仿宋简体"/>
          <w:sz w:val="32"/>
          <w:szCs w:val="32"/>
          <w:lang w:eastAsia="zh-CN"/>
        </w:rPr>
        <w:t>新疆国维勘测规划设计院有限公司</w:t>
      </w:r>
      <w:r>
        <w:rPr>
          <w:rFonts w:hint="eastAsia" w:ascii="Times New Roman" w:hAnsi="Times New Roman" w:eastAsia="方正仿宋简体" w:cs="方正仿宋简体"/>
          <w:sz w:val="32"/>
          <w:szCs w:val="32"/>
        </w:rPr>
        <w:t>编制完成。</w:t>
      </w:r>
    </w:p>
    <w:p w14:paraId="1AB3A95F">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202</w:t>
      </w:r>
      <w:r>
        <w:rPr>
          <w:rFonts w:hint="eastAsia" w:ascii="Times New Roman" w:hAnsi="Times New Roman" w:eastAsia="方正仿宋简体" w:cs="方正仿宋简体"/>
          <w:sz w:val="32"/>
          <w:szCs w:val="32"/>
          <w:lang w:val="en-US" w:eastAsia="zh-CN"/>
        </w:rPr>
        <w:t>4</w:t>
      </w:r>
      <w:r>
        <w:rPr>
          <w:rFonts w:hint="eastAsia" w:ascii="Times New Roman" w:hAnsi="Times New Roman" w:eastAsia="方正仿宋简体" w:cs="方正仿宋简体"/>
          <w:sz w:val="32"/>
          <w:szCs w:val="32"/>
          <w:lang w:eastAsia="zh-CN"/>
        </w:rPr>
        <w:t>年</w:t>
      </w:r>
      <w:r>
        <w:rPr>
          <w:rFonts w:hint="eastAsia" w:ascii="Times New Roman" w:hAnsi="Times New Roman" w:eastAsia="方正仿宋简体" w:cs="方正仿宋简体"/>
          <w:sz w:val="32"/>
          <w:szCs w:val="32"/>
          <w:lang w:val="en-US" w:eastAsia="zh-CN"/>
        </w:rPr>
        <w:t>3</w:t>
      </w:r>
      <w:r>
        <w:rPr>
          <w:rFonts w:hint="eastAsia" w:ascii="Times New Roman" w:hAnsi="Times New Roman" w:eastAsia="方正仿宋简体" w:cs="方正仿宋简体"/>
          <w:sz w:val="32"/>
          <w:szCs w:val="32"/>
          <w:lang w:eastAsia="zh-CN"/>
        </w:rPr>
        <w:t>月14日，</w:t>
      </w:r>
      <w:r>
        <w:rPr>
          <w:rFonts w:hint="eastAsia" w:ascii="Times New Roman" w:hAnsi="Times New Roman" w:eastAsia="方正仿宋简体" w:cs="方正仿宋简体"/>
          <w:sz w:val="32"/>
          <w:szCs w:val="32"/>
          <w:lang w:val="en-US" w:eastAsia="zh-CN"/>
        </w:rPr>
        <w:t>察布查尔县自然资源局</w:t>
      </w:r>
      <w:r>
        <w:rPr>
          <w:rFonts w:hint="eastAsia" w:ascii="Times New Roman" w:hAnsi="Times New Roman" w:eastAsia="方正仿宋简体" w:cs="方正仿宋简体"/>
          <w:sz w:val="32"/>
          <w:szCs w:val="32"/>
          <w:lang w:eastAsia="zh-CN"/>
        </w:rPr>
        <w:t>组织有关专家对该《方案》进行了</w:t>
      </w:r>
      <w:r>
        <w:rPr>
          <w:rFonts w:hint="eastAsia" w:ascii="Times New Roman" w:hAnsi="Times New Roman" w:eastAsia="方正仿宋简体" w:cs="方正仿宋简体"/>
          <w:sz w:val="32"/>
          <w:szCs w:val="32"/>
          <w:lang w:val="en-US" w:eastAsia="zh-CN"/>
        </w:rPr>
        <w:t>函</w:t>
      </w:r>
      <w:r>
        <w:rPr>
          <w:rFonts w:hint="eastAsia" w:ascii="Times New Roman" w:hAnsi="Times New Roman" w:eastAsia="方正仿宋简体" w:cs="方正仿宋简体"/>
          <w:sz w:val="32"/>
          <w:szCs w:val="32"/>
          <w:lang w:eastAsia="zh-CN"/>
        </w:rPr>
        <w:t>审，聘请采矿、地环、土地复垦专业的</w:t>
      </w:r>
      <w:r>
        <w:rPr>
          <w:rFonts w:hint="eastAsia" w:ascii="Times New Roman" w:hAnsi="Times New Roman" w:eastAsia="方正仿宋简体" w:cs="方正仿宋简体"/>
          <w:sz w:val="32"/>
          <w:szCs w:val="32"/>
          <w:lang w:val="en-US" w:eastAsia="zh-CN"/>
        </w:rPr>
        <w:t>3</w:t>
      </w:r>
      <w:r>
        <w:rPr>
          <w:rFonts w:hint="eastAsia" w:ascii="Times New Roman" w:hAnsi="Times New Roman" w:eastAsia="方正仿宋简体" w:cs="方正仿宋简体"/>
          <w:sz w:val="32"/>
          <w:szCs w:val="32"/>
          <w:lang w:eastAsia="zh-CN"/>
        </w:rPr>
        <w:t>名专家组成专家组（名单附后）。</w:t>
      </w:r>
    </w:p>
    <w:p w14:paraId="6B01763C">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kern w:val="2"/>
          <w:sz w:val="32"/>
          <w:szCs w:val="32"/>
          <w:lang w:eastAsia="zh-CN"/>
        </w:rPr>
      </w:pPr>
      <w:r>
        <w:rPr>
          <w:rFonts w:hint="eastAsia" w:ascii="Times New Roman" w:hAnsi="Times New Roman" w:eastAsia="方正仿宋简体" w:cs="方正仿宋简体"/>
          <w:sz w:val="32"/>
          <w:szCs w:val="32"/>
          <w:lang w:eastAsia="zh-CN"/>
        </w:rPr>
        <w:t>经专家组充分讨论和评议，提出了修改意见。会后，编制单位对《方案》进行修改完善。经专家组复核，《方案》符合规范要求。现形成评审意见如下：</w:t>
      </w:r>
    </w:p>
    <w:p w14:paraId="29D78E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Times New Roman" w:hAnsi="Times New Roman" w:eastAsia="方正仿宋简体" w:cs="方正仿宋简体"/>
          <w:b/>
          <w:sz w:val="32"/>
          <w:szCs w:val="32"/>
          <w:lang w:eastAsia="zh-CN"/>
        </w:rPr>
      </w:pPr>
      <w:r>
        <w:rPr>
          <w:rFonts w:hint="eastAsia" w:ascii="Times New Roman" w:hAnsi="Times New Roman" w:eastAsia="方正仿宋简体" w:cs="方正仿宋简体"/>
          <w:b/>
          <w:sz w:val="32"/>
          <w:szCs w:val="32"/>
          <w:lang w:eastAsia="zh-CN"/>
        </w:rPr>
        <w:t>一、采矿权基本情况及编制目的</w:t>
      </w:r>
    </w:p>
    <w:p w14:paraId="5CE201ED">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新疆察布查尔县坎乡1号砂石矿，矿区面积</w:t>
      </w:r>
      <w:r>
        <w:rPr>
          <w:rFonts w:hint="eastAsia" w:ascii="Times New Roman" w:hAnsi="Times New Roman" w:eastAsia="方正仿宋简体" w:cs="方正仿宋简体"/>
          <w:sz w:val="32"/>
          <w:szCs w:val="32"/>
          <w:lang w:val="en-US" w:eastAsia="zh-CN"/>
        </w:rPr>
        <w:t>0.1987平方千米</w:t>
      </w:r>
      <w:r>
        <w:rPr>
          <w:rFonts w:hint="eastAsia" w:ascii="Times New Roman" w:hAnsi="Times New Roman" w:eastAsia="方正仿宋简体" w:cs="方正仿宋简体"/>
          <w:sz w:val="32"/>
          <w:szCs w:val="32"/>
          <w:lang w:eastAsia="zh-CN"/>
        </w:rPr>
        <w:t>，开采标高</w:t>
      </w:r>
      <w:r>
        <w:rPr>
          <w:rFonts w:hint="eastAsia" w:ascii="Times New Roman" w:hAnsi="Times New Roman" w:eastAsia="方正仿宋简体" w:cs="方正仿宋简体"/>
          <w:sz w:val="32"/>
          <w:szCs w:val="32"/>
          <w:lang w:val="en-US" w:eastAsia="zh-CN"/>
        </w:rPr>
        <w:t>731-785米，矿区中部分布有近东西走向的110kv输变电线路，以输电线路两侧各外扩50米作为安全保护区，划定为禁采区，其中Ⅰ号矿体面积为0.143平方千米，Ⅱ号矿体面积为0.037平方千米</w:t>
      </w:r>
      <w:r>
        <w:rPr>
          <w:rFonts w:hint="eastAsia" w:ascii="Times New Roman" w:hAnsi="Times New Roman" w:eastAsia="方正仿宋简体" w:cs="方正仿宋简体"/>
          <w:sz w:val="32"/>
          <w:szCs w:val="32"/>
          <w:lang w:eastAsia="zh-CN"/>
        </w:rPr>
        <w:t>。</w:t>
      </w:r>
    </w:p>
    <w:p w14:paraId="11FCBBE9">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本次编制《方案》目的：1</w:t>
      </w:r>
      <w:r>
        <w:rPr>
          <w:rFonts w:hint="eastAsia" w:ascii="Times New Roman" w:hAnsi="Times New Roman" w:eastAsia="方正仿宋简体" w:cs="方正仿宋简体"/>
          <w:sz w:val="32"/>
          <w:szCs w:val="32"/>
          <w:lang w:val="en-US" w:eastAsia="zh-CN"/>
        </w:rPr>
        <w:t>.</w:t>
      </w:r>
      <w:r>
        <w:rPr>
          <w:rFonts w:hint="eastAsia" w:ascii="Times New Roman" w:hAnsi="Times New Roman" w:eastAsia="方正仿宋简体" w:cs="方正仿宋简体"/>
          <w:sz w:val="32"/>
          <w:szCs w:val="32"/>
          <w:lang w:eastAsia="zh-CN"/>
        </w:rPr>
        <w:t>为申请办理采矿许可证而进行开发利用规模、资源利用率、经济技术指标及环境保护提供资料依据，同时为采矿权人提高矿山的资源利用率、明确安全生产及环境保护要求、规范生产等行为提供可参考的技术依据；2</w:t>
      </w:r>
      <w:r>
        <w:rPr>
          <w:rFonts w:hint="eastAsia" w:ascii="Times New Roman" w:hAnsi="Times New Roman" w:eastAsia="方正仿宋简体" w:cs="方正仿宋简体"/>
          <w:sz w:val="32"/>
          <w:szCs w:val="32"/>
          <w:lang w:val="en-US" w:eastAsia="zh-CN"/>
        </w:rPr>
        <w:t>.</w:t>
      </w:r>
      <w:r>
        <w:rPr>
          <w:rFonts w:hint="eastAsia" w:ascii="Times New Roman" w:hAnsi="Times New Roman" w:eastAsia="方正仿宋简体" w:cs="方正仿宋简体"/>
          <w:sz w:val="32"/>
          <w:szCs w:val="32"/>
          <w:lang w:eastAsia="zh-CN"/>
        </w:rPr>
        <w:t>将矿山企业的矿山地质环境保护、大气污染防治与土地复垦目标、任务、措施和计划等落到实处；3</w:t>
      </w:r>
      <w:r>
        <w:rPr>
          <w:rFonts w:hint="eastAsia" w:ascii="Times New Roman" w:hAnsi="Times New Roman" w:eastAsia="方正仿宋简体" w:cs="方正仿宋简体"/>
          <w:sz w:val="32"/>
          <w:szCs w:val="32"/>
          <w:lang w:val="en-US" w:eastAsia="zh-CN"/>
        </w:rPr>
        <w:t>.</w:t>
      </w:r>
      <w:r>
        <w:rPr>
          <w:rFonts w:hint="eastAsia" w:ascii="Times New Roman" w:hAnsi="Times New Roman" w:eastAsia="方正仿宋简体" w:cs="方正仿宋简体"/>
          <w:sz w:val="32"/>
          <w:szCs w:val="32"/>
          <w:lang w:eastAsia="zh-CN"/>
        </w:rPr>
        <w:t>为矿山地质环境保护与土地复垦的实施管理以及矿山地质环境保护与土地复垦基金计提等提供依据；4</w:t>
      </w:r>
      <w:r>
        <w:rPr>
          <w:rFonts w:hint="eastAsia" w:ascii="Times New Roman" w:hAnsi="Times New Roman" w:eastAsia="方正仿宋简体" w:cs="方正仿宋简体"/>
          <w:sz w:val="32"/>
          <w:szCs w:val="32"/>
          <w:lang w:val="en-US" w:eastAsia="zh-CN"/>
        </w:rPr>
        <w:t>.</w:t>
      </w:r>
      <w:r>
        <w:rPr>
          <w:rFonts w:hint="eastAsia" w:ascii="Times New Roman" w:hAnsi="Times New Roman" w:eastAsia="方正仿宋简体" w:cs="方正仿宋简体"/>
          <w:sz w:val="32"/>
          <w:szCs w:val="32"/>
          <w:lang w:eastAsia="zh-CN"/>
        </w:rPr>
        <w:t>自然资源管理部门监督、检查、督促矿山企业落实矿山地质环境保护与土地复垦责任义务的重要依据；5</w:t>
      </w:r>
      <w:r>
        <w:rPr>
          <w:rFonts w:hint="eastAsia" w:ascii="Times New Roman" w:hAnsi="Times New Roman" w:eastAsia="方正仿宋简体" w:cs="方正仿宋简体"/>
          <w:sz w:val="32"/>
          <w:szCs w:val="32"/>
          <w:lang w:val="en-US" w:eastAsia="zh-CN"/>
        </w:rPr>
        <w:t>.</w:t>
      </w:r>
      <w:r>
        <w:rPr>
          <w:rFonts w:hint="eastAsia" w:ascii="Times New Roman" w:hAnsi="Times New Roman" w:eastAsia="方正仿宋简体" w:cs="方正仿宋简体"/>
          <w:sz w:val="32"/>
          <w:szCs w:val="32"/>
          <w:lang w:eastAsia="zh-CN"/>
        </w:rPr>
        <w:t>使被损毁的土地恢复并达到最佳综合效益的状态，努力实现社会经济、生态环境的可持续发展。</w:t>
      </w:r>
    </w:p>
    <w:p w14:paraId="20897D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Times New Roman" w:hAnsi="Times New Roman" w:eastAsia="方正仿宋简体" w:cs="方正仿宋简体"/>
          <w:b/>
          <w:sz w:val="32"/>
          <w:szCs w:val="32"/>
          <w:lang w:eastAsia="zh-CN"/>
        </w:rPr>
      </w:pPr>
      <w:r>
        <w:rPr>
          <w:rFonts w:hint="eastAsia" w:ascii="Times New Roman" w:hAnsi="Times New Roman" w:eastAsia="方正仿宋简体" w:cs="方正仿宋简体"/>
          <w:b/>
          <w:sz w:val="32"/>
          <w:szCs w:val="32"/>
          <w:lang w:eastAsia="zh-CN"/>
        </w:rPr>
        <w:t>二、设计利用资源储量政策符合性</w:t>
      </w:r>
    </w:p>
    <w:p w14:paraId="31B43F59">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val="en-US" w:eastAsia="zh-CN"/>
        </w:rPr>
        <w:t>《方案》设计依据的《新疆察布查尔县坎乡1号砂石矿矿产资源开发利用与生态保护修复方案》已经过察布查尔县自然资源局评审备案，设计利用资源储量与《普查报告》一致，符合自治区自然资源厅相关政策要求。</w:t>
      </w:r>
    </w:p>
    <w:p w14:paraId="067F2C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Times New Roman" w:hAnsi="Times New Roman" w:eastAsia="方正仿宋简体" w:cs="方正仿宋简体"/>
          <w:b/>
          <w:sz w:val="32"/>
          <w:szCs w:val="32"/>
          <w:lang w:eastAsia="zh-CN"/>
        </w:rPr>
      </w:pPr>
      <w:r>
        <w:rPr>
          <w:rFonts w:hint="eastAsia" w:ascii="Times New Roman" w:hAnsi="Times New Roman" w:eastAsia="方正仿宋简体" w:cs="方正仿宋简体"/>
          <w:b/>
          <w:sz w:val="32"/>
          <w:szCs w:val="32"/>
          <w:lang w:eastAsia="zh-CN"/>
        </w:rPr>
        <w:t>三、设计利用储量、设计开采规模及服务年限</w:t>
      </w:r>
    </w:p>
    <w:p w14:paraId="0D2BDBBC">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val="en-US" w:eastAsia="zh-CN"/>
        </w:rPr>
        <w:t>依据新疆国维勘测规划设计院有限公司2022年11月提交的《新疆察布查尔县坎乡1号砂石矿地质普查报告》：矿区785米至731米标高范围内，查明资源量为建筑用砂石矿推断资源量133.88万立方米。</w:t>
      </w:r>
    </w:p>
    <w:p w14:paraId="1887BB28">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（1）设计损失量及损失率</w:t>
      </w:r>
    </w:p>
    <w:p w14:paraId="2105A754">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按照矿区范围，根据矿体赋存情况、地形条件、选取合理的开采境界参数圈定开采境界，矿区范围内共圈定2个开采境界。开采境界内推断资源量为</w:t>
      </w:r>
      <w:r>
        <w:rPr>
          <w:rFonts w:hint="eastAsia" w:ascii="Times New Roman" w:hAnsi="Times New Roman" w:eastAsia="方正仿宋简体" w:cs="方正仿宋简体"/>
          <w:sz w:val="32"/>
          <w:szCs w:val="32"/>
          <w:lang w:val="en-US" w:eastAsia="zh-CN"/>
        </w:rPr>
        <w:t>133.88</w:t>
      </w:r>
      <w:r>
        <w:rPr>
          <w:rFonts w:hint="eastAsia" w:ascii="Times New Roman" w:hAnsi="Times New Roman" w:eastAsia="方正仿宋简体" w:cs="方正仿宋简体"/>
          <w:sz w:val="32"/>
          <w:szCs w:val="32"/>
          <w:lang w:eastAsia="zh-CN"/>
        </w:rPr>
        <w:t>万立方米，设计开采边坡45°，矿石损失量为</w:t>
      </w:r>
      <w:r>
        <w:rPr>
          <w:rFonts w:hint="eastAsia" w:ascii="Times New Roman" w:hAnsi="Times New Roman" w:eastAsia="方正仿宋简体" w:cs="方正仿宋简体"/>
          <w:sz w:val="32"/>
          <w:szCs w:val="32"/>
          <w:lang w:val="en-US" w:eastAsia="zh-CN"/>
        </w:rPr>
        <w:t>2.34万</w:t>
      </w:r>
      <w:r>
        <w:rPr>
          <w:rFonts w:hint="eastAsia" w:ascii="Times New Roman" w:hAnsi="Times New Roman" w:eastAsia="方正仿宋简体" w:cs="方正仿宋简体"/>
          <w:sz w:val="32"/>
          <w:szCs w:val="32"/>
          <w:lang w:eastAsia="zh-CN"/>
        </w:rPr>
        <w:t>立方米，</w:t>
      </w:r>
      <w:r>
        <w:rPr>
          <w:rFonts w:hint="eastAsia" w:ascii="Times New Roman" w:hAnsi="Times New Roman" w:eastAsia="方正仿宋简体" w:cs="方正仿宋简体"/>
          <w:sz w:val="32"/>
          <w:szCs w:val="32"/>
          <w:lang w:val="en-US" w:eastAsia="zh-CN"/>
        </w:rPr>
        <w:t>其中Ⅰ号矿体矿石损失量1.85万</w:t>
      </w:r>
      <w:r>
        <w:rPr>
          <w:rFonts w:hint="eastAsia" w:ascii="Times New Roman" w:hAnsi="Times New Roman" w:eastAsia="方正仿宋简体" w:cs="方正仿宋简体"/>
          <w:sz w:val="32"/>
          <w:szCs w:val="32"/>
          <w:lang w:eastAsia="zh-CN"/>
        </w:rPr>
        <w:t>立方米</w:t>
      </w:r>
      <w:r>
        <w:rPr>
          <w:rFonts w:hint="eastAsia" w:ascii="Times New Roman" w:hAnsi="Times New Roman" w:eastAsia="方正仿宋简体" w:cs="方正仿宋简体"/>
          <w:sz w:val="32"/>
          <w:szCs w:val="32"/>
          <w:lang w:val="en-US" w:eastAsia="zh-CN"/>
        </w:rPr>
        <w:t>，Ⅱ号矿体矿石损失量0.49万</w:t>
      </w:r>
      <w:r>
        <w:rPr>
          <w:rFonts w:hint="eastAsia" w:ascii="Times New Roman" w:hAnsi="Times New Roman" w:eastAsia="方正仿宋简体" w:cs="方正仿宋简体"/>
          <w:sz w:val="32"/>
          <w:szCs w:val="32"/>
          <w:lang w:eastAsia="zh-CN"/>
        </w:rPr>
        <w:t>立方米</w:t>
      </w:r>
      <w:r>
        <w:rPr>
          <w:rFonts w:hint="eastAsia" w:ascii="Times New Roman" w:hAnsi="Times New Roman" w:eastAsia="方正仿宋简体" w:cs="方正仿宋简体"/>
          <w:sz w:val="32"/>
          <w:szCs w:val="32"/>
          <w:lang w:val="en-US" w:eastAsia="zh-CN"/>
        </w:rPr>
        <w:t>，</w:t>
      </w:r>
      <w:r>
        <w:rPr>
          <w:rFonts w:hint="eastAsia" w:ascii="Times New Roman" w:hAnsi="Times New Roman" w:eastAsia="方正仿宋简体" w:cs="方正仿宋简体"/>
          <w:sz w:val="32"/>
          <w:szCs w:val="32"/>
          <w:lang w:eastAsia="zh-CN"/>
        </w:rPr>
        <w:t>设计损失率1.75%。</w:t>
      </w:r>
    </w:p>
    <w:p w14:paraId="7EA0B044">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（2）采矿损失</w:t>
      </w:r>
    </w:p>
    <w:p w14:paraId="7994C5BC">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根据矿区范围内矿体形态分布特征，采矿损失参照以往生产资料及周边矿山情况，生产回采率取95%，即采矿损失率为5%。</w:t>
      </w:r>
    </w:p>
    <w:p w14:paraId="6B862519">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计算全矿采矿损失推断资源量为：矿石量6.58万</w:t>
      </w:r>
      <w:r>
        <w:rPr>
          <w:rFonts w:hint="eastAsia" w:ascii="Times New Roman" w:hAnsi="Times New Roman" w:eastAsia="方正仿宋简体" w:cs="方正仿宋简体"/>
          <w:sz w:val="32"/>
          <w:szCs w:val="32"/>
          <w:lang w:eastAsia="zh-CN"/>
        </w:rPr>
        <w:t>立方米</w:t>
      </w:r>
      <w:r>
        <w:rPr>
          <w:rFonts w:hint="eastAsia" w:ascii="Times New Roman" w:hAnsi="Times New Roman" w:eastAsia="方正仿宋简体" w:cs="方正仿宋简体"/>
          <w:sz w:val="32"/>
          <w:szCs w:val="32"/>
          <w:lang w:val="en-US" w:eastAsia="zh-CN"/>
        </w:rPr>
        <w:t>。</w:t>
      </w:r>
    </w:p>
    <w:p w14:paraId="11541021">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（3）矿区范围内可采资源量</w:t>
      </w:r>
    </w:p>
    <w:p w14:paraId="031B5ED7">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计算求得矿区范围内可采经济资源量（推断资源量）为：</w:t>
      </w:r>
      <w:r>
        <w:rPr>
          <w:rFonts w:hint="eastAsia" w:ascii="Times New Roman" w:hAnsi="Times New Roman" w:eastAsia="方正仿宋简体" w:cs="方正仿宋简体"/>
          <w:sz w:val="32"/>
          <w:szCs w:val="32"/>
          <w:lang w:val="en-US" w:eastAsia="zh-CN"/>
        </w:rPr>
        <w:t>矿石量124.96万</w:t>
      </w:r>
      <w:r>
        <w:rPr>
          <w:rFonts w:hint="eastAsia" w:ascii="Times New Roman" w:hAnsi="Times New Roman" w:eastAsia="方正仿宋简体" w:cs="方正仿宋简体"/>
          <w:sz w:val="32"/>
          <w:szCs w:val="32"/>
          <w:lang w:eastAsia="zh-CN"/>
        </w:rPr>
        <w:t>立方米</w:t>
      </w:r>
      <w:r>
        <w:rPr>
          <w:rFonts w:hint="eastAsia" w:ascii="Times New Roman" w:hAnsi="Times New Roman" w:eastAsia="方正仿宋简体" w:cs="方正仿宋简体"/>
          <w:sz w:val="32"/>
          <w:szCs w:val="32"/>
          <w:lang w:val="en-US" w:eastAsia="zh-CN"/>
        </w:rPr>
        <w:t>，总损失量：矿石量8.92万</w:t>
      </w:r>
      <w:r>
        <w:rPr>
          <w:rFonts w:hint="eastAsia" w:ascii="Times New Roman" w:hAnsi="Times New Roman" w:eastAsia="方正仿宋简体" w:cs="方正仿宋简体"/>
          <w:sz w:val="32"/>
          <w:szCs w:val="32"/>
          <w:lang w:eastAsia="zh-CN"/>
        </w:rPr>
        <w:t>立方米。</w:t>
      </w:r>
      <w:r>
        <w:rPr>
          <w:rFonts w:hint="eastAsia" w:ascii="Times New Roman" w:hAnsi="Times New Roman" w:eastAsia="方正仿宋简体" w:cs="方正仿宋简体"/>
          <w:sz w:val="32"/>
          <w:szCs w:val="32"/>
          <w:lang w:val="en-US" w:eastAsia="zh-CN"/>
        </w:rPr>
        <w:t>其中Ⅰ号矿体矿石量98.83万</w:t>
      </w:r>
      <w:r>
        <w:rPr>
          <w:rFonts w:hint="eastAsia" w:ascii="Times New Roman" w:hAnsi="Times New Roman" w:eastAsia="方正仿宋简体" w:cs="方正仿宋简体"/>
          <w:sz w:val="32"/>
          <w:szCs w:val="32"/>
          <w:lang w:eastAsia="zh-CN"/>
        </w:rPr>
        <w:t>立方米</w:t>
      </w:r>
      <w:r>
        <w:rPr>
          <w:rFonts w:hint="eastAsia" w:ascii="Times New Roman" w:hAnsi="Times New Roman" w:eastAsia="方正仿宋简体" w:cs="方正仿宋简体"/>
          <w:sz w:val="32"/>
          <w:szCs w:val="32"/>
          <w:lang w:val="en-US" w:eastAsia="zh-CN"/>
        </w:rPr>
        <w:t>，损失量7.05万</w:t>
      </w:r>
      <w:r>
        <w:rPr>
          <w:rFonts w:hint="eastAsia" w:ascii="Times New Roman" w:hAnsi="Times New Roman" w:eastAsia="方正仿宋简体" w:cs="方正仿宋简体"/>
          <w:sz w:val="32"/>
          <w:szCs w:val="32"/>
          <w:lang w:eastAsia="zh-CN"/>
        </w:rPr>
        <w:t>立方米</w:t>
      </w:r>
      <w:r>
        <w:rPr>
          <w:rFonts w:hint="eastAsia" w:ascii="Times New Roman" w:hAnsi="Times New Roman" w:eastAsia="方正仿宋简体" w:cs="方正仿宋简体"/>
          <w:sz w:val="32"/>
          <w:szCs w:val="32"/>
          <w:lang w:val="en-US" w:eastAsia="zh-CN"/>
        </w:rPr>
        <w:t>；Ⅱ号矿体矿石量26.13万</w:t>
      </w:r>
      <w:r>
        <w:rPr>
          <w:rFonts w:hint="eastAsia" w:ascii="Times New Roman" w:hAnsi="Times New Roman" w:eastAsia="方正仿宋简体" w:cs="方正仿宋简体"/>
          <w:sz w:val="32"/>
          <w:szCs w:val="32"/>
          <w:lang w:eastAsia="zh-CN"/>
        </w:rPr>
        <w:t>立方米</w:t>
      </w:r>
      <w:r>
        <w:rPr>
          <w:rFonts w:hint="eastAsia" w:ascii="Times New Roman" w:hAnsi="Times New Roman" w:eastAsia="方正仿宋简体" w:cs="方正仿宋简体"/>
          <w:sz w:val="32"/>
          <w:szCs w:val="32"/>
          <w:lang w:val="en-US" w:eastAsia="zh-CN"/>
        </w:rPr>
        <w:t>，损失量1.87万</w:t>
      </w:r>
      <w:r>
        <w:rPr>
          <w:rFonts w:hint="eastAsia" w:ascii="Times New Roman" w:hAnsi="Times New Roman" w:eastAsia="方正仿宋简体" w:cs="方正仿宋简体"/>
          <w:sz w:val="32"/>
          <w:szCs w:val="32"/>
          <w:lang w:eastAsia="zh-CN"/>
        </w:rPr>
        <w:t>立方米</w:t>
      </w:r>
      <w:r>
        <w:rPr>
          <w:rFonts w:hint="eastAsia" w:ascii="Times New Roman" w:hAnsi="Times New Roman" w:eastAsia="方正仿宋简体" w:cs="方正仿宋简体"/>
          <w:sz w:val="32"/>
          <w:szCs w:val="32"/>
          <w:lang w:val="en-US" w:eastAsia="zh-CN"/>
        </w:rPr>
        <w:t>。</w:t>
      </w:r>
    </w:p>
    <w:p w14:paraId="512F8E84">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矿山建设规模：</w:t>
      </w:r>
      <w:r>
        <w:rPr>
          <w:rFonts w:hint="eastAsia" w:ascii="Times New Roman" w:hAnsi="Times New Roman" w:eastAsia="方正仿宋简体" w:cs="方正仿宋简体"/>
          <w:sz w:val="32"/>
          <w:szCs w:val="32"/>
          <w:lang w:val="en-US" w:eastAsia="zh-CN"/>
        </w:rPr>
        <w:t>25</w:t>
      </w:r>
      <w:r>
        <w:rPr>
          <w:rFonts w:hint="eastAsia" w:ascii="Times New Roman" w:hAnsi="Times New Roman" w:eastAsia="方正仿宋简体" w:cs="方正仿宋简体"/>
          <w:sz w:val="32"/>
          <w:szCs w:val="32"/>
          <w:lang w:eastAsia="zh-CN"/>
        </w:rPr>
        <w:t>万立方米/年。</w:t>
      </w:r>
    </w:p>
    <w:p w14:paraId="7CA5A4C7">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eastAsia="zh-CN"/>
        </w:rPr>
        <w:t>矿山设计服务年限：</w:t>
      </w:r>
      <w:r>
        <w:rPr>
          <w:rFonts w:hint="eastAsia" w:ascii="Times New Roman" w:hAnsi="Times New Roman" w:eastAsia="方正仿宋简体" w:cs="方正仿宋简体"/>
          <w:sz w:val="32"/>
          <w:szCs w:val="32"/>
          <w:lang w:val="en-US" w:eastAsia="zh-CN"/>
        </w:rPr>
        <w:t>5</w:t>
      </w:r>
      <w:r>
        <w:rPr>
          <w:rFonts w:hint="eastAsia" w:ascii="Times New Roman" w:hAnsi="Times New Roman" w:eastAsia="方正仿宋简体" w:cs="方正仿宋简体"/>
          <w:sz w:val="32"/>
          <w:szCs w:val="32"/>
          <w:lang w:eastAsia="zh-CN"/>
        </w:rPr>
        <w:t>年。</w:t>
      </w:r>
    </w:p>
    <w:p w14:paraId="4C5853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Times New Roman" w:hAnsi="Times New Roman" w:eastAsia="方正仿宋简体" w:cs="方正仿宋简体"/>
          <w:b/>
          <w:sz w:val="32"/>
          <w:szCs w:val="32"/>
          <w:lang w:eastAsia="zh-CN"/>
        </w:rPr>
      </w:pPr>
      <w:r>
        <w:rPr>
          <w:rFonts w:hint="eastAsia" w:ascii="Times New Roman" w:hAnsi="Times New Roman" w:eastAsia="方正仿宋简体" w:cs="方正仿宋简体"/>
          <w:b/>
          <w:sz w:val="32"/>
          <w:szCs w:val="32"/>
          <w:lang w:eastAsia="zh-CN"/>
        </w:rPr>
        <w:t>四、采矿及选矿方案</w:t>
      </w:r>
    </w:p>
    <w:p w14:paraId="05B7A0A9">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开采方式：露天开采。</w:t>
      </w:r>
    </w:p>
    <w:p w14:paraId="3E55A0C2">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采矿方法：</w:t>
      </w:r>
      <w:r>
        <w:rPr>
          <w:rFonts w:hint="eastAsia" w:ascii="Times New Roman" w:hAnsi="Times New Roman" w:eastAsia="方正仿宋简体" w:cs="方正仿宋简体"/>
          <w:sz w:val="32"/>
          <w:szCs w:val="32"/>
          <w:lang w:val="zh-CN" w:eastAsia="zh-CN"/>
        </w:rPr>
        <w:t>凹陷式露天开采。</w:t>
      </w:r>
    </w:p>
    <w:p w14:paraId="4167E1F9">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val="en-US" w:eastAsia="zh-CN"/>
        </w:rPr>
        <w:t>开采顺序：开采顺序是由西南向东北，先开采Ⅰ号矿体后开采Ⅱ号矿体，前期矿部生活区布置在Ⅱ号矿体露天采场中部，待矿山向南开采至附近安全距离时，将各场地迁移至已开采完成区域。</w:t>
      </w:r>
    </w:p>
    <w:p w14:paraId="7DCE4D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Times New Roman" w:hAnsi="Times New Roman" w:eastAsia="方正仿宋简体" w:cs="方正仿宋简体"/>
          <w:b/>
          <w:sz w:val="32"/>
          <w:szCs w:val="32"/>
          <w:lang w:eastAsia="zh-CN"/>
        </w:rPr>
      </w:pPr>
      <w:r>
        <w:rPr>
          <w:rFonts w:hint="eastAsia" w:ascii="Times New Roman" w:hAnsi="Times New Roman" w:eastAsia="方正仿宋简体" w:cs="方正仿宋简体"/>
          <w:b/>
          <w:sz w:val="32"/>
          <w:szCs w:val="32"/>
          <w:lang w:eastAsia="zh-CN"/>
        </w:rPr>
        <w:t>五、产品方案</w:t>
      </w:r>
    </w:p>
    <w:p w14:paraId="12F8C84F">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建筑用砂石。</w:t>
      </w:r>
    </w:p>
    <w:p w14:paraId="208939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Times New Roman" w:hAnsi="Times New Roman" w:eastAsia="方正仿宋简体" w:cs="方正仿宋简体"/>
          <w:b/>
          <w:sz w:val="32"/>
          <w:szCs w:val="32"/>
          <w:lang w:eastAsia="zh-CN"/>
        </w:rPr>
      </w:pPr>
      <w:r>
        <w:rPr>
          <w:rFonts w:hint="eastAsia" w:ascii="Times New Roman" w:hAnsi="Times New Roman" w:eastAsia="方正仿宋简体" w:cs="方正仿宋简体"/>
          <w:b/>
          <w:sz w:val="32"/>
          <w:szCs w:val="32"/>
          <w:lang w:eastAsia="zh-CN"/>
        </w:rPr>
        <w:t>六、绿色矿山建设</w:t>
      </w:r>
    </w:p>
    <w:p w14:paraId="5E4E9260">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依据《新疆维吾尔自治区绿色矿山建设规范（试行）》的相关规范、标准，矿山从矿区环境、资源开发方式、资源综合利用、节能减排、科技创新与数字化矿山、企业管理、企业形象、和谐社区等方面开展绿色矿山建设工作，严格按照《新疆维吾尔自治区绿色矿山建设现场评估表》进行自评，接受相关管理部门及第三方监督检查。</w:t>
      </w:r>
    </w:p>
    <w:p w14:paraId="282A53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Times New Roman" w:hAnsi="Times New Roman" w:eastAsia="方正仿宋简体" w:cs="方正仿宋简体"/>
          <w:b/>
          <w:sz w:val="32"/>
          <w:szCs w:val="32"/>
          <w:lang w:eastAsia="zh-CN"/>
        </w:rPr>
      </w:pPr>
      <w:r>
        <w:rPr>
          <w:rFonts w:hint="eastAsia" w:ascii="Times New Roman" w:hAnsi="Times New Roman" w:eastAsia="方正仿宋简体" w:cs="方正仿宋简体"/>
          <w:b/>
          <w:sz w:val="32"/>
          <w:szCs w:val="32"/>
          <w:lang w:eastAsia="zh-CN"/>
        </w:rPr>
        <w:t>七、矿区地质环境治理恢复</w:t>
      </w:r>
    </w:p>
    <w:p w14:paraId="269201AD">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1、本次工作查明了矿山环境现状，分析了矿山环境发展趋势，其论述内容基本全面，结论基本正确。</w:t>
      </w:r>
    </w:p>
    <w:p w14:paraId="600DFEB4">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2、确定评估级别为一级，评估区面积0.9202平方千米，评估等级划分正确，评估范围确定合理。</w:t>
      </w:r>
    </w:p>
    <w:p w14:paraId="629B8839">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3、对矿山地质环境影响进行了现状分析评估，主要评估结论：</w:t>
      </w:r>
    </w:p>
    <w:p w14:paraId="4B0E67B0">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现状条件下，评估区内地质灾害、含水层破坏、地形地貌景观影响、水土环境污染、大气污染程度较轻。</w:t>
      </w:r>
    </w:p>
    <w:p w14:paraId="35DCC14E">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sz w:val="32"/>
          <w:szCs w:val="32"/>
          <w:lang w:val="en-US" w:eastAsia="zh-CN"/>
        </w:rPr>
        <w:t>矿山地质环境现状评估划分为较轻区，面积为920176平方米。</w:t>
      </w:r>
    </w:p>
    <w:p w14:paraId="4A54B5D0">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4、预测了采矿活动对矿山地质环境的影响评估，主要评估结论：</w:t>
      </w:r>
    </w:p>
    <w:p w14:paraId="754C581A">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预测采矿活动引发和遭受露天采矿场边坡上方崩塌灾害的危险性小，沟谷内道路遭受泥石流灾害的危险性小。预测采矿活动不易引发和遭受滑坡、地面塌陷、地面沉降、地裂缝及不稳定斜坡地质灾害。</w:t>
      </w:r>
    </w:p>
    <w:p w14:paraId="67593647">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预测条件下，评估区内地质灾害、含水层破坏、水土环境污染、大气污染程度较轻；采矿场开采影响区对地形地貌景观的影响程度为严重。</w:t>
      </w:r>
    </w:p>
    <w:p w14:paraId="17C032FD">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eastAsia="zh-CN"/>
        </w:rPr>
      </w:pPr>
      <w:r>
        <w:rPr>
          <w:rFonts w:hint="eastAsia" w:ascii="Times New Roman" w:hAnsi="Times New Roman" w:eastAsia="方正仿宋简体" w:cs="方正仿宋简体"/>
          <w:sz w:val="32"/>
          <w:szCs w:val="32"/>
          <w:lang w:val="en-US" w:eastAsia="zh-CN"/>
        </w:rPr>
        <w:t>矿山地质环境预测评估划分为严重区和较轻区，其中：严重区：面积为180075平方米，主要为规划露天采场（含矿部生活区）；较轻区：面积740101平方米，主要为上述区域外的其他区域。</w:t>
      </w:r>
    </w:p>
    <w:p w14:paraId="724DF200">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5、确定了矿山环境保护与治理恢复的原则、目标和任务，对矿区进行了矿山环境保护与治理恢复分区，并提出了具体的保护、治理以及监测方案，并进行了经费概算。</w:t>
      </w:r>
    </w:p>
    <w:p w14:paraId="335D2561">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（1）矿山环境保护与综合治理分区</w:t>
      </w:r>
    </w:p>
    <w:p w14:paraId="11D41167">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划分为矿山地质环境重点防治区（Ⅰ）和矿山地质环境一般防治区（Ⅲ），分区总面积92.0176公顷。</w:t>
      </w:r>
    </w:p>
    <w:p w14:paraId="4A1A265F">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其中：重点防治区（Ⅰ）为2处露天采场（Ⅰ）面积为18.0075公顷（含矿部生活区）、一般防治区（Ⅲ）为除以上其他区域，面积74.0101公顷。</w:t>
      </w:r>
    </w:p>
    <w:p w14:paraId="4592C5E0">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（2）地质环境治理工程</w:t>
      </w:r>
    </w:p>
    <w:p w14:paraId="7425D16A">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1）矿山地质灾害防治及监测</w:t>
      </w:r>
    </w:p>
    <w:p w14:paraId="67F2619C">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在露天采场外10米设置铁丝围栏，最终需铁丝围栏共2634米，水泥柱132根，警示牌13个，采用水泥桩上绕六道铁丝方式，警示内容为“注意跌落”、“注意安全”等。</w:t>
      </w:r>
    </w:p>
    <w:p w14:paraId="2998AE0A">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在3处冲沟影响区范围两侧设置警示牌，警示牌内容为“雨季和融雪季节，警惕泥石流灾害！”一来可以提醒矿山工作人员注意生产安全；二来提醒外来人员提高警惕，以免发生意外，沟谷设置警示牌6个。在矿界外冲沟影响区设置截排水沟，设计沟深0.5米，沟宽2米，边坡1:1.5，截排水沟长约860米，沟槽开挖工程量约645立方米，截水沟采用浆砌块石，工程量约430立方米。</w:t>
      </w:r>
    </w:p>
    <w:p w14:paraId="07BF4774">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针对露天采场边坡部署崩塌地质灾害点，重点监测露天采场各边坡崩塌隐患点，其监测频率设计为每天1次，年监测240次，监测时间为生产期间，方案适用期内监测1300次。针对泥石流隐患以人工巡查监测及气象资料收集相结合，避开降雨天气施工，对沟道的堵塞情况进行监测，3处冲沟各布设1个监测点，监测点平时每月一次，汛期一周一次，每年监测12次，监测时间为生产期间，方案适用年限内共监测180次。针对表土堆放场、成品堆放场以及废石堆放场的边坡稳定性通过专业人员进行人工巡视，监测点平时每月一次，每年监测12次，监测时间为生产期间，方案适用年限内共监测180次。</w:t>
      </w:r>
    </w:p>
    <w:p w14:paraId="1DB91249">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2）含水层破坏防治工程部署</w:t>
      </w:r>
    </w:p>
    <w:p w14:paraId="28175470">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矿区布置生活污水处理设施，生活污水应严格按设计集中收集，达标排放或再利用。严格落实环评报告提出的各项水污染防护及回收利用措施，加大环保力度，确保项目污水循环利用，力争减少外排水量，维持区域水平衡。</w:t>
      </w:r>
    </w:p>
    <w:p w14:paraId="7CAA3F21">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本矿山为露天矿山，开采矿种为建筑用砂矿，开采标高为731-785米，由于矿坑无涌水，方案适应期内不会出现矿坑涌水，未对含水层造成破坏，未影响矿区及周边居民饮水。因此不进行含水层破坏修复工程设计。由于矿坑无地下水，不设计地下水质和涌水量监测工作。</w:t>
      </w:r>
    </w:p>
    <w:p w14:paraId="5D9614C1">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3）地形地貌景观防治工程部署</w:t>
      </w:r>
    </w:p>
    <w:p w14:paraId="504E112B">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监测露天采场对土地及地形地貌影响的变化情况，及时了解土地占用和污染情况，防止进一步扩大土地损毁面积。地形地貌景观监测采用地形测绘方法进行监测。地形测绘采用RTK等工具，通过现场实地调查和勘测，填表记录和计算机成图反映矿区及影响范围内地形地貌景观和土地资源治理及破坏等情况，自矿山生产期开始，每年监测1次。方案适用期内共计监测2次。</w:t>
      </w:r>
    </w:p>
    <w:p w14:paraId="487A246C">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4）水土环境污染防治工程部署</w:t>
      </w:r>
    </w:p>
    <w:p w14:paraId="001E50B2">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矿山开采对水土环境污染程度为较轻，可不采取修复工程措施，但要加强矿山生产生活污水的防护措施和监测工作。</w:t>
      </w:r>
    </w:p>
    <w:p w14:paraId="700DBF95">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固体废弃物的处理：矿山工作人员为12人，工作制度为240天/年，按每天每人排放生活垃圾约1千克计算（生活垃圾按0.5吨/立方米）；生活垃圾年排放量为2.88吨（5.76立方米）；适用年限内产生生活垃圾14.4吨（28.8立方米）；矿山服务年限内共产生生活垃圾14.4吨（28.8立方米）。</w:t>
      </w:r>
    </w:p>
    <w:p w14:paraId="646B6950">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生活垃圾成分以厨余垃圾、塑料、纸类、玻璃、废弃电池为主，含有病原微生物、有机污染物和重金属污染物，矿部生活区内设置容积为0.6立方米的垃圾桶2个，生产期间的生活垃圾在垃圾池内临时堆放，每周定期清运生活垃圾至察布查尔县垃圾填埋场进行统一处理，拉运距离3千米左右。在生活区修建有防渗厕所，定期对粪便进行清理与生活垃圾一起拉运至察布查尔县垃圾填埋场处置。</w:t>
      </w:r>
    </w:p>
    <w:p w14:paraId="1EF44A82">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生活污水的处理：矿山工作人员为12人，工作制度为240天/年，按照人均每天用水量30升/人，污水生产率75%计算，生活污水年排放量64.8立方米；适用年限内产生生活污水324立方米；矿山服务年限内共产生生活污水324立方米。</w:t>
      </w:r>
    </w:p>
    <w:p w14:paraId="78B4E69D">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本项目产生的生活污水中主要含有有机污染物、有毒污染物（如合成洗涤剂）及生物污染物（如有害微生物）等，矿山在生活区设置污水罐储存，污水罐容积10立方米，经澄清并消毒无害处理达到《农村生活污水处理排放标准》（DB654275-2019）中的B级排放标准后自然排放或经加药消毒后用于矿区的降尘及绿化。</w:t>
      </w:r>
    </w:p>
    <w:p w14:paraId="297635BF">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矿山开采不会对地表水及地下水造成污染，因此，主要对矿山土壤环境和排放的生活污水处理效果进行监测。在废石堆放场、工业场地及矿部生活区周边，共布设3个土壤监测点，布设1个生活污水监测点，自矿山生产期开始，每年取土壤测试样和生活污水样1次。适用年限内共监测土壤15次，监测水质5次。</w:t>
      </w:r>
    </w:p>
    <w:p w14:paraId="4D56B695">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5）大气污染防治工程部署</w:t>
      </w:r>
    </w:p>
    <w:p w14:paraId="3980930B">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矿区对空气环境的影响主要为露天采场、工业场地等区域在生产期间道路运输等造成的粉尘污染，粉尘颗粒物对周边环境具有一定程度的影响。其大气污染修复的任务为：一是加强监测；二是采取预防措施，利用净化处理过的水对矿山道路、采场及破筛场地进行喷洒降尘（公司在生产中完成，不计入本方案工作量）。避免大气环境污染事故的发生。</w:t>
      </w:r>
    </w:p>
    <w:p w14:paraId="3CF34F16">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sz w:val="32"/>
          <w:szCs w:val="32"/>
          <w:lang w:val="en-US" w:eastAsia="zh-CN"/>
        </w:rPr>
        <w:t>在露天采矿场和工业场地各设置一个监测点，一般情况下为每半年监测一次，有矿山指定专人详细记录监测时间。监测点位，监测负责人等内容，以备检查。适用期内监测20次。</w:t>
      </w:r>
    </w:p>
    <w:p w14:paraId="25721A99">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6、矿区土地复垦</w:t>
      </w:r>
    </w:p>
    <w:p w14:paraId="30606018">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根据规程有关要求，结合矿山布局分布情况，本次复垦区面积为2处露天采场（其中包含矿部生活区及部分矿山道路）、工业场地、废石堆放场、表土堆放场及矿区外矿山道路，最终确定本方案复垦区面积为矿山损毁土地面积18.6049公顷。根据土地复垦方案编制规程可知，复垦责任范围是指复垦区损毁土地中不再留续使用的区域。矿山所有损毁土地全部纳入复垦责任范围，复垦责任范围为18.6049公顷。复垦率为100%</w:t>
      </w:r>
    </w:p>
    <w:p w14:paraId="35746BC0">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根据本方案复垦适宜性评价结果和复垦单元划分情况，主要包括表土剥覆、废石回填筑坡、道路清废、场地平整、砌体拆除与清运、土地翻耕和植被重建等。</w:t>
      </w:r>
    </w:p>
    <w:p w14:paraId="7F83F96A">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color w:val="000000"/>
          <w:kern w:val="0"/>
          <w:sz w:val="32"/>
          <w:szCs w:val="32"/>
          <w:lang w:val="en-US" w:eastAsia="zh-CN" w:bidi="ar-SA"/>
        </w:rPr>
      </w:pPr>
      <w:r>
        <w:rPr>
          <w:rFonts w:hint="eastAsia" w:ascii="Times New Roman" w:hAnsi="Times New Roman" w:eastAsia="方正仿宋简体" w:cs="方正仿宋简体"/>
          <w:color w:val="000000"/>
          <w:kern w:val="0"/>
          <w:sz w:val="32"/>
          <w:szCs w:val="32"/>
          <w:lang w:val="en-US" w:eastAsia="zh-CN" w:bidi="ar-SA"/>
        </w:rPr>
        <w:t>7、投资估算</w:t>
      </w:r>
    </w:p>
    <w:p w14:paraId="75D4C0AE">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color w:val="000000"/>
          <w:kern w:val="0"/>
          <w:sz w:val="32"/>
          <w:szCs w:val="32"/>
          <w:lang w:val="en-US" w:eastAsia="zh-CN" w:bidi="ar-SA"/>
        </w:rPr>
      </w:pPr>
      <w:r>
        <w:rPr>
          <w:rFonts w:hint="eastAsia" w:ascii="Times New Roman" w:hAnsi="Times New Roman" w:eastAsia="方正仿宋简体" w:cs="方正仿宋简体"/>
          <w:color w:val="000000"/>
          <w:kern w:val="0"/>
          <w:sz w:val="32"/>
          <w:szCs w:val="32"/>
          <w:lang w:val="en-US" w:eastAsia="zh-CN" w:bidi="ar-SA"/>
        </w:rPr>
        <w:t>（1）矿山开发利用投资估算</w:t>
      </w:r>
    </w:p>
    <w:p w14:paraId="5D9A69C8">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color w:val="000000"/>
          <w:kern w:val="0"/>
          <w:sz w:val="32"/>
          <w:szCs w:val="32"/>
          <w:lang w:val="en-US" w:eastAsia="zh-CN" w:bidi="ar-SA"/>
        </w:rPr>
      </w:pPr>
      <w:r>
        <w:rPr>
          <w:rFonts w:hint="eastAsia" w:ascii="Times New Roman" w:hAnsi="Times New Roman" w:eastAsia="方正仿宋简体" w:cs="方正仿宋简体"/>
          <w:color w:val="000000"/>
          <w:kern w:val="0"/>
          <w:sz w:val="32"/>
          <w:szCs w:val="32"/>
          <w:lang w:val="en-US" w:eastAsia="zh-CN" w:bidi="ar-SA"/>
        </w:rPr>
        <w:t>项目总投资为353.232万元，从上述各项经济指标来看，矿山每年税后利润76.97万元，投资回收期为4.58年，投资利润率29.14％。</w:t>
      </w:r>
    </w:p>
    <w:p w14:paraId="16C57B61">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color w:val="000000"/>
          <w:kern w:val="0"/>
          <w:sz w:val="32"/>
          <w:szCs w:val="32"/>
          <w:lang w:val="en-US" w:eastAsia="zh-CN" w:bidi="ar-SA"/>
        </w:rPr>
      </w:pPr>
      <w:r>
        <w:rPr>
          <w:rFonts w:hint="eastAsia" w:ascii="Times New Roman" w:hAnsi="Times New Roman" w:eastAsia="方正仿宋简体" w:cs="方正仿宋简体"/>
          <w:color w:val="000000"/>
          <w:kern w:val="0"/>
          <w:sz w:val="32"/>
          <w:szCs w:val="32"/>
          <w:lang w:val="en-US" w:eastAsia="zh-CN" w:bidi="ar-SA"/>
        </w:rPr>
        <w:t>矿山服务年限为5年，矿山投资回收期4.58年，投资收回后有0.42年的盈利期，回本后有0.42×76.97=32.32万元的盈利能力。</w:t>
      </w:r>
    </w:p>
    <w:p w14:paraId="76789574">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color w:val="000000"/>
          <w:kern w:val="0"/>
          <w:sz w:val="32"/>
          <w:szCs w:val="32"/>
          <w:lang w:val="en-US" w:eastAsia="zh-CN" w:bidi="ar-SA"/>
        </w:rPr>
      </w:pPr>
      <w:r>
        <w:rPr>
          <w:rFonts w:hint="eastAsia" w:ascii="Times New Roman" w:hAnsi="Times New Roman" w:eastAsia="方正仿宋简体" w:cs="方正仿宋简体"/>
          <w:color w:val="000000"/>
          <w:kern w:val="0"/>
          <w:sz w:val="32"/>
          <w:szCs w:val="32"/>
          <w:lang w:val="en-US" w:eastAsia="zh-CN" w:bidi="ar-SA"/>
        </w:rPr>
        <w:t>项目的财务计算与分析表明，该项目具有可观的盈利能力，在财务上是可行的。为此，矿山开发既能使资源得到开发利用，也具有为地区解决就业增加税收及支持基础设施建设等社会意义，同时也具有较好的经济效益，随着城镇化和大基建等政策的实施，对砂石料的需求会日益增长，市场前景乐观，项目具有较好的投资开发价值。</w:t>
      </w:r>
    </w:p>
    <w:p w14:paraId="206246D3">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color w:val="000000"/>
          <w:kern w:val="0"/>
          <w:sz w:val="32"/>
          <w:szCs w:val="32"/>
          <w:lang w:val="en-US" w:eastAsia="zh-CN" w:bidi="ar-SA"/>
        </w:rPr>
      </w:pPr>
      <w:r>
        <w:rPr>
          <w:rFonts w:hint="eastAsia" w:ascii="Times New Roman" w:hAnsi="Times New Roman" w:eastAsia="方正仿宋简体" w:cs="方正仿宋简体"/>
          <w:color w:val="000000"/>
          <w:kern w:val="0"/>
          <w:sz w:val="32"/>
          <w:szCs w:val="32"/>
          <w:lang w:val="en-US" w:eastAsia="zh-CN" w:bidi="ar-SA"/>
        </w:rPr>
        <w:t>（2）地质环境治理和土地复垦投资估算</w:t>
      </w:r>
    </w:p>
    <w:p w14:paraId="61251884">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color w:val="000000"/>
          <w:kern w:val="0"/>
          <w:sz w:val="32"/>
          <w:szCs w:val="32"/>
          <w:lang w:val="en-US" w:eastAsia="zh-CN" w:bidi="ar-SA"/>
        </w:rPr>
      </w:pPr>
      <w:r>
        <w:rPr>
          <w:rFonts w:hint="eastAsia" w:ascii="Times New Roman" w:hAnsi="Times New Roman" w:eastAsia="方正仿宋简体" w:cs="方正仿宋简体"/>
          <w:color w:val="000000"/>
          <w:kern w:val="0"/>
          <w:sz w:val="32"/>
          <w:szCs w:val="32"/>
          <w:lang w:val="en-US" w:eastAsia="zh-CN" w:bidi="ar-SA"/>
        </w:rPr>
        <w:t>本矿山总年限矿山地质环境治理工程静态总投资51.14万元，土地复垦静态总投资79.90万元。矿山地质环境治理和土地复垦工程静态总投资131.04万元，动态总投资为136.99万元。</w:t>
      </w:r>
    </w:p>
    <w:p w14:paraId="3273673C">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color w:val="000000"/>
          <w:kern w:val="0"/>
          <w:sz w:val="32"/>
          <w:szCs w:val="32"/>
          <w:lang w:val="en-US" w:eastAsia="zh-CN" w:bidi="ar-SA"/>
        </w:rPr>
      </w:pPr>
      <w:r>
        <w:rPr>
          <w:rFonts w:hint="eastAsia" w:ascii="Times New Roman" w:hAnsi="Times New Roman" w:eastAsia="方正仿宋简体" w:cs="方正仿宋简体"/>
          <w:color w:val="000000"/>
          <w:kern w:val="0"/>
          <w:sz w:val="32"/>
          <w:szCs w:val="32"/>
          <w:lang w:val="en-US" w:eastAsia="zh-CN" w:bidi="ar-SA"/>
        </w:rPr>
        <w:t>矿山地质环境保护治理和土地复垦工程动态总投资328.65万元，矿山地质环境保护治理和土地复垦工程静态总投资305.27万元，其中矿山地质环境治理工程静态总投资63.67万元，土地复垦静态总投资241.60万元。</w:t>
      </w:r>
    </w:p>
    <w:p w14:paraId="19898390">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color w:val="000000"/>
          <w:kern w:val="0"/>
          <w:sz w:val="32"/>
          <w:szCs w:val="32"/>
          <w:lang w:val="en-US" w:eastAsia="zh-CN" w:bidi="ar-SA"/>
        </w:rPr>
      </w:pPr>
      <w:r>
        <w:rPr>
          <w:rFonts w:hint="eastAsia" w:ascii="Times New Roman" w:hAnsi="Times New Roman" w:eastAsia="方正仿宋简体" w:cs="方正仿宋简体"/>
          <w:color w:val="000000"/>
          <w:kern w:val="0"/>
          <w:sz w:val="32"/>
          <w:szCs w:val="32"/>
          <w:lang w:val="en-US" w:eastAsia="zh-CN" w:bidi="ar-SA"/>
        </w:rPr>
        <w:t>矿山地质环境治理和土地复垦经费由企业自筹。</w:t>
      </w:r>
    </w:p>
    <w:p w14:paraId="3E8A67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Times New Roman" w:hAnsi="Times New Roman" w:eastAsia="方正仿宋简体" w:cs="方正仿宋简体"/>
          <w:b/>
          <w:sz w:val="32"/>
          <w:szCs w:val="32"/>
          <w:lang w:eastAsia="zh-CN"/>
        </w:rPr>
      </w:pPr>
      <w:r>
        <w:rPr>
          <w:rFonts w:hint="eastAsia" w:ascii="Times New Roman" w:hAnsi="Times New Roman" w:eastAsia="方正仿宋简体" w:cs="方正仿宋简体"/>
          <w:b/>
          <w:sz w:val="32"/>
          <w:szCs w:val="32"/>
          <w:lang w:val="en-US" w:eastAsia="zh-CN"/>
        </w:rPr>
        <w:t>八</w:t>
      </w:r>
      <w:r>
        <w:rPr>
          <w:rFonts w:hint="eastAsia" w:ascii="Times New Roman" w:hAnsi="Times New Roman" w:eastAsia="方正仿宋简体" w:cs="方正仿宋简体"/>
          <w:b/>
          <w:sz w:val="32"/>
          <w:szCs w:val="32"/>
          <w:lang w:eastAsia="zh-CN"/>
        </w:rPr>
        <w:t>、存在的问题及建议</w:t>
      </w:r>
    </w:p>
    <w:p w14:paraId="65926B05">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bookmarkStart w:id="0" w:name="_Toc23514"/>
      <w:bookmarkStart w:id="1" w:name="_Toc32134"/>
      <w:r>
        <w:rPr>
          <w:rFonts w:hint="eastAsia" w:ascii="Times New Roman" w:hAnsi="Times New Roman" w:eastAsia="方正仿宋简体" w:cs="方正仿宋简体"/>
          <w:sz w:val="32"/>
          <w:szCs w:val="32"/>
          <w:lang w:val="en-US" w:eastAsia="zh-CN"/>
        </w:rPr>
        <w:t>1、存在的主要问题</w:t>
      </w:r>
      <w:bookmarkEnd w:id="0"/>
      <w:bookmarkEnd w:id="1"/>
    </w:p>
    <w:p w14:paraId="5AEF2986">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（1）为了保护环境，必须要加强环境保护和采区复垦工作。建议矿山在开采活动中应避免破坏周边第四系覆盖层，保护环境。</w:t>
      </w:r>
    </w:p>
    <w:p w14:paraId="2EFF7455">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（2）矿山开采应严格按开采设计方案进行，应按自上而下的原则开采，兼顾环境保护与安全生产。开采过程中应合理规划，避免资源的浪费。</w:t>
      </w:r>
    </w:p>
    <w:p w14:paraId="01D78F4E">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bookmarkStart w:id="2" w:name="_Toc20651"/>
      <w:bookmarkStart w:id="3" w:name="_Toc2117"/>
      <w:r>
        <w:rPr>
          <w:rFonts w:hint="eastAsia" w:ascii="Times New Roman" w:hAnsi="Times New Roman" w:eastAsia="方正仿宋简体" w:cs="方正仿宋简体"/>
          <w:sz w:val="32"/>
          <w:szCs w:val="32"/>
          <w:lang w:val="en-US" w:eastAsia="zh-CN"/>
        </w:rPr>
        <w:t>2、有关建议</w:t>
      </w:r>
      <w:bookmarkEnd w:id="2"/>
      <w:bookmarkEnd w:id="3"/>
    </w:p>
    <w:p w14:paraId="6C81B110">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（1）矿山开采过程中，应采取切实有效的措施，最大限度地减少矿产资源开发对矿山地质环境的影响和破坏，真正做到“在开发中保护、在保护中开发”，促进采矿活动健康发展。</w:t>
      </w:r>
    </w:p>
    <w:p w14:paraId="166ED0F4">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（2）矿山在开采过程中，应设专门机构加强矿山地质环境监测，发现地质灾害迹象或地质环境问题应及时上报，有关部门应及时处理。</w:t>
      </w:r>
    </w:p>
    <w:p w14:paraId="29D9524D">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（3）矿山生产过程中，应严格执行国家现行的矿山安全生产规范、规程、规定和标准，确保矿山建设和生产的安全。</w:t>
      </w:r>
    </w:p>
    <w:p w14:paraId="290E11CF">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（4）加强矿山地质环境保护与土地复垦的管理及监督工作。</w:t>
      </w:r>
    </w:p>
    <w:p w14:paraId="38CC5980">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（5）编制应急预案，发生重大事故时立即启动相应的应急预案，做到防患于未然。</w:t>
      </w:r>
    </w:p>
    <w:p w14:paraId="2B0E4BDD">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6）本方案不替代矿山建设各阶段的工程地质勘察或有关的评估工作，不替代矿山地质环境治理和土地复垦设计等。建议矿山企业在进行矿山地质环境治理和土地复垦时，应委托有资质相关单位进行专项工程勘察、设计。</w:t>
      </w:r>
    </w:p>
    <w:p w14:paraId="57519B44">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7）本方案设计工程量及投资仅为初步估算，具体实施时应请有资质单位按各项相关工程的设计规定进行设计、施工，并验收合格后投入使用。考虑到未来情况的多变性、物价涨幅等情况，对于方案设计投资估算仅供参考。</w:t>
      </w:r>
    </w:p>
    <w:p w14:paraId="2A7EDDDC">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方正仿宋简体" w:cs="方正仿宋简体"/>
          <w:sz w:val="32"/>
          <w:szCs w:val="32"/>
          <w:lang w:val="en-US" w:eastAsia="zh-CN"/>
        </w:rPr>
      </w:pPr>
      <w:r>
        <w:rPr>
          <w:rFonts w:hint="eastAsia" w:ascii="Times New Roman" w:hAnsi="Times New Roman" w:eastAsia="方正仿宋简体" w:cs="方正仿宋简体"/>
          <w:sz w:val="32"/>
          <w:szCs w:val="32"/>
          <w:lang w:val="en-US" w:eastAsia="zh-CN"/>
        </w:rPr>
        <w:t>（8）矿山企业将按本方案要求，认真组织落实，配合当地行政主管部门，做好方案实施的监理、监测和监督工作，严格执行工程监理制度，对各类措施的实施进度、质量和资金使用情况进行监督管理，以保证工程质量。</w:t>
      </w:r>
    </w:p>
    <w:p w14:paraId="2459BAC7">
      <w:pPr>
        <w:pStyle w:val="2"/>
        <w:rPr>
          <w:rFonts w:hint="eastAsia" w:ascii="仿宋" w:hAnsi="仿宋" w:eastAsia="仿宋" w:cs="仿宋"/>
          <w:sz w:val="32"/>
          <w:szCs w:val="32"/>
          <w:lang w:val="en-US" w:eastAsia="zh-CN"/>
        </w:rPr>
      </w:pPr>
      <w:bookmarkStart w:id="4" w:name="_GoBack"/>
      <w:bookmarkEnd w:id="4"/>
      <w:r>
        <w:rPr>
          <w:rFonts w:hint="eastAsia" w:ascii="仿宋" w:hAnsi="仿宋" w:eastAsia="仿宋" w:cs="仿宋"/>
          <w:sz w:val="32"/>
          <w:szCs w:val="32"/>
          <w:lang w:val="en-US" w:eastAsia="zh-CN"/>
        </w:rPr>
        <w:drawing>
          <wp:inline distT="0" distB="0" distL="114300" distR="114300">
            <wp:extent cx="5535295" cy="7828915"/>
            <wp:effectExtent l="0" t="0" r="8255" b="635"/>
            <wp:docPr id="2" name="图片 2" descr="E:/8、察县坎乡砂石料矿/《新疆察布查尔县坎乡1号砂石矿矿产资源开发利用与生态保护修复方案》-审查意见-王多生.jpg《新疆察布查尔县坎乡1号砂石矿矿产资源开发利用与生态保护修复方案》-审查意见-王多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8、察县坎乡砂石料矿/《新疆察布查尔县坎乡1号砂石矿矿产资源开发利用与生态保护修复方案》-审查意见-王多生.jpg《新疆察布查尔县坎乡1号砂石矿矿产资源开发利用与生态保护修复方案》-审查意见-王多生"/>
                    <pic:cNvPicPr>
                      <a:picLocks noChangeAspect="1"/>
                    </pic:cNvPicPr>
                  </pic:nvPicPr>
                  <pic:blipFill>
                    <a:blip r:embed="rId4"/>
                    <a:srcRect l="8" r="8"/>
                    <a:stretch>
                      <a:fillRect/>
                    </a:stretch>
                  </pic:blipFill>
                  <pic:spPr>
                    <a:xfrm>
                      <a:off x="0" y="0"/>
                      <a:ext cx="5535295" cy="7828915"/>
                    </a:xfrm>
                    <a:prstGeom prst="rect">
                      <a:avLst/>
                    </a:prstGeom>
                  </pic:spPr>
                </pic:pic>
              </a:graphicData>
            </a:graphic>
          </wp:inline>
        </w:drawing>
      </w:r>
    </w:p>
    <w:p w14:paraId="1A2AC3DA">
      <w:pPr>
        <w:pStyle w:val="2"/>
        <w:jc w:val="both"/>
        <w:rPr>
          <w:rFonts w:hint="eastAsia" w:ascii="仿宋" w:hAnsi="仿宋" w:eastAsia="仿宋" w:cs="仿宋"/>
          <w:sz w:val="32"/>
          <w:szCs w:val="32"/>
          <w:lang w:val="en-US" w:eastAsia="zh-CN"/>
        </w:rPr>
        <w:sectPr>
          <w:pgSz w:w="11906" w:h="16838"/>
          <w:pgMar w:top="1701" w:right="1474" w:bottom="1701" w:left="1587" w:header="851" w:footer="992" w:gutter="0"/>
          <w:cols w:space="425" w:num="1"/>
          <w:docGrid w:type="lines" w:linePitch="312" w:charSpace="0"/>
        </w:sectPr>
      </w:pPr>
      <w:r>
        <w:rPr>
          <w:rFonts w:hint="eastAsia" w:ascii="仿宋" w:hAnsi="仿宋" w:eastAsia="仿宋" w:cs="仿宋"/>
          <w:sz w:val="32"/>
          <w:szCs w:val="32"/>
          <w:lang w:val="en-US" w:eastAsia="zh-CN"/>
        </w:rPr>
        <w:drawing>
          <wp:inline distT="0" distB="0" distL="114300" distR="114300">
            <wp:extent cx="5609590" cy="7933690"/>
            <wp:effectExtent l="0" t="0" r="10160" b="10160"/>
            <wp:docPr id="4" name="图片 4" descr="专家审查意见及签字名单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专家审查意见及签字名单_页面_1"/>
                    <pic:cNvPicPr>
                      <a:picLocks noChangeAspect="1"/>
                    </pic:cNvPicPr>
                  </pic:nvPicPr>
                  <pic:blipFill>
                    <a:blip r:embed="rId5"/>
                    <a:stretch>
                      <a:fillRect/>
                    </a:stretch>
                  </pic:blipFill>
                  <pic:spPr>
                    <a:xfrm>
                      <a:off x="0" y="0"/>
                      <a:ext cx="5609590" cy="7933690"/>
                    </a:xfrm>
                    <a:prstGeom prst="rect">
                      <a:avLst/>
                    </a:prstGeom>
                  </pic:spPr>
                </pic:pic>
              </a:graphicData>
            </a:graphic>
          </wp:inline>
        </w:drawing>
      </w:r>
    </w:p>
    <w:p w14:paraId="5D6DB2E3">
      <w:pPr>
        <w:pStyle w:val="2"/>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7933690" cy="5609590"/>
            <wp:effectExtent l="0" t="0" r="10160" b="10160"/>
            <wp:docPr id="5" name="图片 5" descr="专家审查意见及签字名单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专家审查意见及签字名单_页面_2"/>
                    <pic:cNvPicPr>
                      <a:picLocks noChangeAspect="1"/>
                    </pic:cNvPicPr>
                  </pic:nvPicPr>
                  <pic:blipFill>
                    <a:blip r:embed="rId6"/>
                    <a:stretch>
                      <a:fillRect/>
                    </a:stretch>
                  </pic:blipFill>
                  <pic:spPr>
                    <a:xfrm>
                      <a:off x="0" y="0"/>
                      <a:ext cx="7933690" cy="5609590"/>
                    </a:xfrm>
                    <a:prstGeom prst="rect">
                      <a:avLst/>
                    </a:prstGeom>
                  </pic:spPr>
                </pic:pic>
              </a:graphicData>
            </a:graphic>
          </wp:inline>
        </w:drawing>
      </w: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2DDB3"/>
    <w:multiLevelType w:val="singleLevel"/>
    <w:tmpl w:val="4FD2DDB3"/>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NjdjODA4Mzk1NjdjODVmNTM4MTFhNDEyNzFiMzYifQ=="/>
  </w:docVars>
  <w:rsids>
    <w:rsidRoot w:val="3B9416DC"/>
    <w:rsid w:val="00646721"/>
    <w:rsid w:val="02380358"/>
    <w:rsid w:val="062D3789"/>
    <w:rsid w:val="0C234835"/>
    <w:rsid w:val="10E943BC"/>
    <w:rsid w:val="1AEB0D31"/>
    <w:rsid w:val="20F218CA"/>
    <w:rsid w:val="3B9416DC"/>
    <w:rsid w:val="410C73DE"/>
    <w:rsid w:val="44377ACF"/>
    <w:rsid w:val="48300895"/>
    <w:rsid w:val="514C786D"/>
    <w:rsid w:val="5AE608BA"/>
    <w:rsid w:val="644A7E43"/>
    <w:rsid w:val="65FF4C5D"/>
    <w:rsid w:val="67136C12"/>
    <w:rsid w:val="67254250"/>
    <w:rsid w:val="73636D32"/>
    <w:rsid w:val="748D4A10"/>
    <w:rsid w:val="76937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jc w:val="left"/>
    </w:pPr>
    <w:rPr>
      <w:color w:val="000000"/>
      <w:kern w:val="0"/>
      <w:sz w:val="28"/>
      <w:szCs w:val="28"/>
    </w:rPr>
  </w:style>
  <w:style w:type="paragraph" w:styleId="3">
    <w:name w:val="Normal Indent"/>
    <w:basedOn w:val="1"/>
    <w:qFormat/>
    <w:uiPriority w:val="0"/>
    <w:pPr>
      <w:ind w:firstLine="420"/>
    </w:pPr>
  </w:style>
  <w:style w:type="paragraph" w:styleId="4">
    <w:name w:val="Plain Text"/>
    <w:basedOn w:val="1"/>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Number 5"/>
    <w:basedOn w:val="1"/>
    <w:qFormat/>
    <w:uiPriority w:val="0"/>
    <w:pPr>
      <w:numPr>
        <w:ilvl w:val="0"/>
        <w:numId w:val="1"/>
      </w:numPr>
    </w:pPr>
  </w:style>
  <w:style w:type="paragraph" w:customStyle="1" w:styleId="10">
    <w:name w:val="样式1"/>
    <w:basedOn w:val="1"/>
    <w:qFormat/>
    <w:uiPriority w:val="99"/>
    <w:pPr>
      <w:widowControl w:val="0"/>
      <w:spacing w:line="500" w:lineRule="exact"/>
      <w:ind w:firstLine="200" w:firstLineChars="200"/>
      <w:jc w:val="both"/>
    </w:pPr>
    <w:rPr>
      <w:rFonts w:eastAsia="华文中宋" w:cs="Times New Roman"/>
      <w:sz w:val="24"/>
      <w:szCs w:val="20"/>
    </w:rPr>
  </w:style>
  <w:style w:type="character" w:customStyle="1" w:styleId="11">
    <w:name w:val="标题 1 Char"/>
    <w:qFormat/>
    <w:uiPriority w:val="9"/>
    <w:rPr>
      <w:rFonts w:ascii="宋体" w:hAnsi="宋体" w:eastAsia="仿宋_GB2312"/>
      <w:b/>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6129</Words>
  <Characters>7007</Characters>
  <Lines>0</Lines>
  <Paragraphs>0</Paragraphs>
  <TotalTime>17</TotalTime>
  <ScaleCrop>false</ScaleCrop>
  <LinksUpToDate>false</LinksUpToDate>
  <CharactersWithSpaces>7072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2023-03-29T02:47:00Z</dcterms:created>
  <dc:creator>嫘果儿</dc:creator>
  <cp:lastModifiedBy>Administrator</cp:lastModifiedBy>
  <cp:lastPrinted>2025-11-27T04:35:00Z</cp:lastPrinted>
  <dcterms:modified xsi:type="dcterms:W3CDTF">2026-05-21T09:06:05Z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FB2FE87A8D374885AC27FACB1F8B973D_13</vt:lpwstr>
  </property>
  <property fmtid="{D5CDD505-2E9C-101B-9397-08002B2CF9AE}" pid="4" name="KSOTemplateDocerSaveRecord">
    <vt:lpwstr>eyJoZGlkIjoiMDJiMDlkNTI1NzEyZWU4ZmIyODlkZmY5NGQ0N2NiZDUifQ==</vt:lpwstr>
  </property>
</Properties>
</file>