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0FD3F">
      <w:pPr>
        <w:pStyle w:val="2"/>
        <w:adjustRightInd w:val="0"/>
        <w:snapToGrid w:val="0"/>
        <w:spacing w:line="600" w:lineRule="exact"/>
        <w:ind w:left="0" w:right="0"/>
        <w:rPr>
          <w:rFonts w:hint="eastAsia"/>
          <w:w w:val="95"/>
          <w:sz w:val="36"/>
          <w:szCs w:val="36"/>
          <w:lang w:eastAsia="zh-CN"/>
        </w:rPr>
      </w:pPr>
      <w:bookmarkStart w:id="0" w:name="_Hlk105859480"/>
      <w:r>
        <w:rPr>
          <w:w w:val="95"/>
          <w:sz w:val="36"/>
          <w:szCs w:val="36"/>
          <w:lang w:eastAsia="zh-CN"/>
        </w:rPr>
        <w:t>《</w:t>
      </w:r>
      <w:r>
        <w:rPr>
          <w:rFonts w:hint="eastAsia"/>
          <w:w w:val="95"/>
          <w:sz w:val="36"/>
          <w:szCs w:val="36"/>
          <w:lang w:eastAsia="zh-CN"/>
        </w:rPr>
        <w:t>伊犁天山混凝土有限责任公司察布查尔县海努克砂石矿矿产资源开发利用与生态保护修复方案</w:t>
      </w:r>
      <w:r>
        <w:rPr>
          <w:w w:val="95"/>
          <w:sz w:val="36"/>
          <w:szCs w:val="36"/>
          <w:lang w:eastAsia="zh-CN"/>
        </w:rPr>
        <w:t>》</w:t>
      </w:r>
      <w:bookmarkEnd w:id="0"/>
    </w:p>
    <w:p w14:paraId="09CF1F79">
      <w:pPr>
        <w:pStyle w:val="2"/>
        <w:adjustRightInd w:val="0"/>
        <w:snapToGrid w:val="0"/>
        <w:spacing w:line="600" w:lineRule="exact"/>
        <w:ind w:left="0" w:right="0"/>
        <w:rPr>
          <w:rFonts w:hint="eastAsia"/>
          <w:b w:val="0"/>
          <w:sz w:val="36"/>
          <w:szCs w:val="36"/>
          <w:lang w:eastAsia="zh-CN"/>
        </w:rPr>
      </w:pPr>
      <w:r>
        <w:rPr>
          <w:w w:val="95"/>
          <w:sz w:val="36"/>
          <w:szCs w:val="36"/>
          <w:lang w:eastAsia="zh-CN"/>
        </w:rPr>
        <w:t>专家审查意见</w:t>
      </w:r>
    </w:p>
    <w:p w14:paraId="1FB45B22">
      <w:pPr>
        <w:pStyle w:val="4"/>
        <w:adjustRightInd w:val="0"/>
        <w:snapToGrid w:val="0"/>
        <w:spacing w:line="560" w:lineRule="exact"/>
        <w:ind w:left="0" w:firstLine="560" w:firstLineChars="200"/>
        <w:jc w:val="both"/>
        <w:rPr>
          <w:rFonts w:hint="eastAsia"/>
          <w:lang w:eastAsia="zh-CN"/>
        </w:rPr>
      </w:pPr>
      <w:r>
        <w:rPr>
          <w:lang w:eastAsia="zh-CN"/>
        </w:rPr>
        <w:t>《</w:t>
      </w:r>
      <w:r>
        <w:rPr>
          <w:rFonts w:hint="eastAsia"/>
          <w:lang w:eastAsia="zh-CN"/>
        </w:rPr>
        <w:t>伊犁天山混凝土有限责任公司察布查尔县海努克砂石矿矿产资源开发利用与生态保护修复方案</w:t>
      </w:r>
      <w:r>
        <w:rPr>
          <w:lang w:eastAsia="zh-CN"/>
        </w:rPr>
        <w:t>》（以下简称《方案》）</w:t>
      </w:r>
      <w:r>
        <w:rPr>
          <w:rFonts w:hint="eastAsia"/>
          <w:lang w:eastAsia="zh-CN"/>
        </w:rPr>
        <w:t>，</w:t>
      </w:r>
      <w:r>
        <w:rPr>
          <w:lang w:eastAsia="zh-CN"/>
        </w:rPr>
        <w:t>由</w:t>
      </w:r>
      <w:r>
        <w:rPr>
          <w:rFonts w:hint="eastAsia"/>
          <w:lang w:eastAsia="zh-CN"/>
        </w:rPr>
        <w:t>四川省第二地质大队</w:t>
      </w:r>
      <w:r>
        <w:rPr>
          <w:lang w:eastAsia="zh-CN"/>
        </w:rPr>
        <w:t>编制完成。</w:t>
      </w:r>
      <w:r>
        <w:rPr>
          <w:rFonts w:hint="eastAsia"/>
          <w:lang w:eastAsia="zh-CN"/>
        </w:rPr>
        <w:t>察布查尔锡伯自治县自然资源局</w:t>
      </w:r>
      <w:r>
        <w:rPr>
          <w:lang w:eastAsia="zh-CN"/>
        </w:rPr>
        <w:t>组织有关专家对该《方案》进行</w:t>
      </w:r>
      <w:r>
        <w:rPr>
          <w:rFonts w:hint="eastAsia"/>
          <w:lang w:eastAsia="zh-CN"/>
        </w:rPr>
        <w:t>函审</w:t>
      </w:r>
      <w:r>
        <w:rPr>
          <w:lang w:eastAsia="zh-CN"/>
        </w:rPr>
        <w:t>。该《方案》经专家组充分讨论和评议，提出了修改意见。会后，编制单位依据专家意见对《方案》进行补充、修改和完善，经专家组复核，认为《方案》符合规范要求，形成如下评审意见：</w:t>
      </w:r>
    </w:p>
    <w:p w14:paraId="6518FA85">
      <w:pPr>
        <w:pStyle w:val="4"/>
        <w:adjustRightInd w:val="0"/>
        <w:snapToGrid w:val="0"/>
        <w:spacing w:line="560" w:lineRule="exact"/>
        <w:ind w:left="0" w:firstLine="562" w:firstLineChars="200"/>
        <w:jc w:val="both"/>
        <w:rPr>
          <w:rFonts w:hint="eastAsia"/>
          <w:b/>
          <w:bCs/>
          <w:lang w:eastAsia="zh-CN"/>
        </w:rPr>
      </w:pPr>
      <w:r>
        <w:rPr>
          <w:b/>
          <w:bCs/>
          <w:lang w:eastAsia="zh-CN"/>
        </w:rPr>
        <w:t>一、采矿权基本情况及编制目的</w:t>
      </w:r>
    </w:p>
    <w:p w14:paraId="0A4FB1FC">
      <w:pPr>
        <w:pStyle w:val="4"/>
        <w:adjustRightInd w:val="0"/>
        <w:snapToGrid w:val="0"/>
        <w:spacing w:line="560" w:lineRule="exact"/>
        <w:ind w:left="0" w:firstLine="560" w:firstLineChars="200"/>
        <w:jc w:val="both"/>
        <w:rPr>
          <w:rFonts w:hint="eastAsia"/>
          <w:lang w:eastAsia="zh-CN"/>
        </w:rPr>
      </w:pPr>
      <w:r>
        <w:rPr>
          <w:rFonts w:hint="eastAsia"/>
          <w:lang w:eastAsia="zh-CN"/>
        </w:rPr>
        <w:t>伊犁天山混凝土有限责任公司察布查尔县海努克砂石矿</w:t>
      </w:r>
      <w:r>
        <w:rPr>
          <w:lang w:eastAsia="zh-CN"/>
        </w:rPr>
        <w:t>属</w:t>
      </w:r>
      <w:r>
        <w:rPr>
          <w:rFonts w:hint="eastAsia"/>
          <w:lang w:eastAsia="zh-CN"/>
        </w:rPr>
        <w:t>改扩建矿山</w:t>
      </w:r>
      <w:r>
        <w:rPr>
          <w:lang w:eastAsia="zh-CN"/>
        </w:rPr>
        <w:t>。</w:t>
      </w:r>
    </w:p>
    <w:p w14:paraId="2E6BD914">
      <w:pPr>
        <w:pStyle w:val="4"/>
        <w:adjustRightInd w:val="0"/>
        <w:snapToGrid w:val="0"/>
        <w:spacing w:line="560" w:lineRule="exact"/>
        <w:ind w:left="0" w:firstLine="560" w:firstLineChars="200"/>
        <w:jc w:val="both"/>
        <w:rPr>
          <w:rFonts w:hint="eastAsia"/>
          <w:lang w:eastAsia="zh-CN"/>
        </w:rPr>
      </w:pPr>
      <w:r>
        <w:rPr>
          <w:lang w:eastAsia="zh-CN"/>
        </w:rPr>
        <w:t>本次编制《方案》目的：为矿山</w:t>
      </w:r>
      <w:r>
        <w:rPr>
          <w:rFonts w:hint="eastAsia"/>
          <w:lang w:eastAsia="zh-CN"/>
        </w:rPr>
        <w:t>延续</w:t>
      </w:r>
      <w:r>
        <w:rPr>
          <w:lang w:eastAsia="zh-CN"/>
        </w:rPr>
        <w:t>采矿权</w:t>
      </w:r>
      <w:r>
        <w:rPr>
          <w:rFonts w:hint="eastAsia"/>
          <w:lang w:eastAsia="zh-CN"/>
        </w:rPr>
        <w:t>、变更生产规模提供</w:t>
      </w:r>
      <w:r>
        <w:rPr>
          <w:lang w:eastAsia="zh-CN"/>
        </w:rPr>
        <w:t>技术依据，是自然资源管理部门监督、检查、督促矿山企业落实矿山地质环境保护与土地复垦责任义务的重要依据。</w:t>
      </w:r>
    </w:p>
    <w:p w14:paraId="7A73A782">
      <w:pPr>
        <w:pStyle w:val="4"/>
        <w:adjustRightInd w:val="0"/>
        <w:snapToGrid w:val="0"/>
        <w:spacing w:line="560" w:lineRule="exact"/>
        <w:ind w:left="0" w:firstLine="562" w:firstLineChars="200"/>
        <w:jc w:val="both"/>
        <w:rPr>
          <w:rFonts w:hint="eastAsia"/>
          <w:b/>
          <w:bCs/>
          <w:lang w:eastAsia="zh-CN"/>
        </w:rPr>
      </w:pPr>
      <w:r>
        <w:rPr>
          <w:b/>
          <w:bCs/>
          <w:lang w:eastAsia="zh-CN"/>
        </w:rPr>
        <w:t>二、利用资源储量政策符合性</w:t>
      </w:r>
    </w:p>
    <w:p w14:paraId="41EE1EDD">
      <w:pPr>
        <w:pStyle w:val="4"/>
        <w:adjustRightInd w:val="0"/>
        <w:snapToGrid w:val="0"/>
        <w:spacing w:line="560" w:lineRule="exact"/>
        <w:ind w:left="0" w:firstLine="561"/>
        <w:jc w:val="both"/>
        <w:rPr>
          <w:rFonts w:hint="eastAsia"/>
          <w:lang w:eastAsia="zh-CN"/>
        </w:rPr>
      </w:pPr>
      <w:r>
        <w:rPr>
          <w:lang w:eastAsia="zh-CN"/>
        </w:rPr>
        <w:t>《方案》资源量储量类型确定合理，</w:t>
      </w:r>
      <w:r>
        <w:rPr>
          <w:rFonts w:hint="eastAsia"/>
          <w:lang w:eastAsia="zh-CN"/>
        </w:rPr>
        <w:t>设计</w:t>
      </w:r>
      <w:r>
        <w:rPr>
          <w:lang w:eastAsia="zh-CN"/>
        </w:rPr>
        <w:t>利用资源储量、可采储量的确定符合自治区自然资源厅相关政策要求。</w:t>
      </w:r>
    </w:p>
    <w:p w14:paraId="6722C8D8">
      <w:pPr>
        <w:pStyle w:val="4"/>
        <w:adjustRightInd w:val="0"/>
        <w:snapToGrid w:val="0"/>
        <w:spacing w:line="560" w:lineRule="exact"/>
        <w:ind w:left="0" w:firstLine="562" w:firstLineChars="200"/>
        <w:jc w:val="both"/>
        <w:rPr>
          <w:rFonts w:hint="eastAsia"/>
          <w:b/>
          <w:bCs/>
          <w:lang w:eastAsia="zh-CN"/>
        </w:rPr>
      </w:pPr>
      <w:r>
        <w:rPr>
          <w:b/>
          <w:bCs/>
          <w:lang w:eastAsia="zh-CN"/>
        </w:rPr>
        <w:t>三、方案利用储量、开采规模及服务年限</w:t>
      </w:r>
    </w:p>
    <w:p w14:paraId="3C10DF34">
      <w:pPr>
        <w:pStyle w:val="4"/>
        <w:adjustRightInd w:val="0"/>
        <w:snapToGrid w:val="0"/>
        <w:spacing w:line="560" w:lineRule="exact"/>
        <w:ind w:left="0" w:firstLine="561"/>
        <w:jc w:val="both"/>
        <w:rPr>
          <w:rFonts w:hint="eastAsia"/>
          <w:lang w:eastAsia="zh-CN"/>
        </w:rPr>
      </w:pPr>
      <w:r>
        <w:rPr>
          <w:lang w:eastAsia="zh-CN"/>
        </w:rPr>
        <w:t>评审通过资源量：</w:t>
      </w:r>
      <w:r>
        <w:rPr>
          <w:rFonts w:hint="eastAsia"/>
          <w:lang w:eastAsia="zh-CN"/>
        </w:rPr>
        <w:t>根据2023年12月四川省地质矿产勘查开发局四0五地质队编制的《新疆伊犁天山混凝土有限责任公司察布查尔锡伯自治县海努克砂石矿资源储量核实报告》评审意见书（察自然资储核〔2024〕012号）</w:t>
      </w:r>
      <w:r>
        <w:rPr>
          <w:lang w:eastAsia="zh-CN"/>
        </w:rPr>
        <w:t>，截止202</w:t>
      </w:r>
      <w:r>
        <w:rPr>
          <w:rFonts w:hint="eastAsia"/>
          <w:lang w:eastAsia="zh-CN"/>
        </w:rPr>
        <w:t>3年12</w:t>
      </w:r>
      <w:r>
        <w:rPr>
          <w:lang w:eastAsia="zh-CN"/>
        </w:rPr>
        <w:t>月</w:t>
      </w:r>
      <w:r>
        <w:rPr>
          <w:rFonts w:hint="eastAsia"/>
          <w:lang w:eastAsia="zh-CN"/>
        </w:rPr>
        <w:t>31</w:t>
      </w:r>
      <w:r>
        <w:rPr>
          <w:lang w:eastAsia="zh-CN"/>
        </w:rPr>
        <w:t>日，</w:t>
      </w:r>
      <w:r>
        <w:rPr>
          <w:rFonts w:hint="eastAsia"/>
          <w:lang w:eastAsia="zh-CN"/>
        </w:rPr>
        <w:t>累计查明资源量</w:t>
      </w:r>
      <w:r>
        <w:rPr>
          <w:lang w:eastAsia="zh-CN"/>
        </w:rPr>
        <w:t>393.69</w:t>
      </w:r>
      <w:r>
        <w:rPr>
          <w:rFonts w:hint="eastAsia"/>
          <w:lang w:eastAsia="zh-CN"/>
        </w:rPr>
        <w:t>万立方米，其中探明资源量</w:t>
      </w:r>
      <w:r>
        <w:rPr>
          <w:lang w:eastAsia="zh-CN"/>
        </w:rPr>
        <w:t>290.91</w:t>
      </w:r>
      <w:r>
        <w:rPr>
          <w:rFonts w:hint="eastAsia"/>
          <w:lang w:eastAsia="zh-CN"/>
        </w:rPr>
        <w:t>万立方米，推断资源量</w:t>
      </w:r>
      <w:r>
        <w:rPr>
          <w:lang w:eastAsia="zh-CN"/>
        </w:rPr>
        <w:t>102.</w:t>
      </w:r>
      <w:r>
        <w:rPr>
          <w:rFonts w:hint="eastAsia"/>
          <w:lang w:eastAsia="zh-CN"/>
        </w:rPr>
        <w:t>7</w:t>
      </w:r>
      <w:r>
        <w:rPr>
          <w:lang w:eastAsia="zh-CN"/>
        </w:rPr>
        <w:t>8</w:t>
      </w:r>
      <w:r>
        <w:rPr>
          <w:rFonts w:hint="eastAsia"/>
          <w:lang w:eastAsia="zh-CN"/>
        </w:rPr>
        <w:t>万立方米。</w:t>
      </w:r>
      <w:r>
        <w:rPr>
          <w:rFonts w:hint="eastAsia"/>
          <w:color w:val="000000" w:themeColor="text1"/>
          <w:lang w:eastAsia="zh-CN"/>
          <w14:textFill>
            <w14:solidFill>
              <w14:schemeClr w14:val="tx1"/>
            </w14:solidFill>
          </w14:textFill>
        </w:rPr>
        <w:t>矿界</w:t>
      </w:r>
      <w:r>
        <w:rPr>
          <w:color w:val="000000" w:themeColor="text1"/>
          <w:lang w:eastAsia="zh-CN"/>
          <w14:textFill>
            <w14:solidFill>
              <w14:schemeClr w14:val="tx1"/>
            </w14:solidFill>
          </w14:textFill>
        </w:rPr>
        <w:t>范围内</w:t>
      </w:r>
      <w:r>
        <w:rPr>
          <w:rFonts w:hint="eastAsia"/>
          <w:color w:val="000000" w:themeColor="text1"/>
          <w:lang w:eastAsia="zh-CN"/>
          <w14:textFill>
            <w14:solidFill>
              <w14:schemeClr w14:val="tx1"/>
            </w14:solidFill>
          </w14:textFill>
        </w:rPr>
        <w:t>保有推断资源量</w:t>
      </w:r>
      <w:r>
        <w:rPr>
          <w:color w:val="000000" w:themeColor="text1"/>
          <w:lang w:eastAsia="zh-CN"/>
          <w14:textFill>
            <w14:solidFill>
              <w14:schemeClr w14:val="tx1"/>
            </w14:solidFill>
          </w14:textFill>
        </w:rPr>
        <w:t>102.</w:t>
      </w:r>
      <w:r>
        <w:rPr>
          <w:rFonts w:hint="eastAsia"/>
          <w:color w:val="000000" w:themeColor="text1"/>
          <w:lang w:eastAsia="zh-CN"/>
          <w14:textFill>
            <w14:solidFill>
              <w14:schemeClr w14:val="tx1"/>
            </w14:solidFill>
          </w14:textFill>
        </w:rPr>
        <w:t>7</w:t>
      </w:r>
      <w:r>
        <w:rPr>
          <w:color w:val="000000" w:themeColor="text1"/>
          <w:lang w:eastAsia="zh-CN"/>
          <w14:textFill>
            <w14:solidFill>
              <w14:schemeClr w14:val="tx1"/>
            </w14:solidFill>
          </w14:textFill>
        </w:rPr>
        <w:t>8</w:t>
      </w:r>
      <w:r>
        <w:rPr>
          <w:rFonts w:hint="eastAsia"/>
          <w:color w:val="000000" w:themeColor="text1"/>
          <w:lang w:eastAsia="zh-CN"/>
          <w14:textFill>
            <w14:solidFill>
              <w14:schemeClr w14:val="tx1"/>
            </w14:solidFill>
          </w14:textFill>
        </w:rPr>
        <w:t>万立方米</w:t>
      </w:r>
      <w:r>
        <w:rPr>
          <w:lang w:eastAsia="zh-CN"/>
        </w:rPr>
        <w:t>。</w:t>
      </w:r>
    </w:p>
    <w:p w14:paraId="06E5847A">
      <w:pPr>
        <w:pStyle w:val="4"/>
        <w:adjustRightInd w:val="0"/>
        <w:snapToGrid w:val="0"/>
        <w:spacing w:line="560" w:lineRule="exact"/>
        <w:ind w:left="0" w:firstLine="560" w:firstLineChars="200"/>
        <w:jc w:val="both"/>
        <w:rPr>
          <w:rFonts w:hint="eastAsia"/>
          <w:lang w:eastAsia="zh-CN"/>
        </w:rPr>
      </w:pPr>
      <w:r>
        <w:rPr>
          <w:lang w:eastAsia="zh-CN"/>
        </w:rPr>
        <w:t>《方案》中</w:t>
      </w:r>
      <w:r>
        <w:rPr>
          <w:rFonts w:hint="eastAsia"/>
          <w:lang w:eastAsia="zh-CN"/>
        </w:rPr>
        <w:t>设计</w:t>
      </w:r>
      <w:r>
        <w:rPr>
          <w:lang w:eastAsia="zh-CN"/>
        </w:rPr>
        <w:t>利用资源量：按照矿区范围，根据矿体赋存情况、地形条件在矿区范围内共圈定一个开采境界。开采境界内</w:t>
      </w:r>
      <w:r>
        <w:rPr>
          <w:rFonts w:hint="eastAsia"/>
          <w:lang w:eastAsia="zh-CN"/>
        </w:rPr>
        <w:t>设计</w:t>
      </w:r>
      <w:r>
        <w:rPr>
          <w:lang w:eastAsia="zh-CN"/>
        </w:rPr>
        <w:t>利用</w:t>
      </w:r>
      <w:r>
        <w:rPr>
          <w:rFonts w:hint="eastAsia"/>
          <w:lang w:eastAsia="zh-CN"/>
        </w:rPr>
        <w:t>推断</w:t>
      </w:r>
      <w:r>
        <w:rPr>
          <w:lang w:eastAsia="zh-CN"/>
        </w:rPr>
        <w:t>资源量</w:t>
      </w:r>
      <w:r>
        <w:rPr>
          <w:rFonts w:hint="eastAsia"/>
          <w:lang w:eastAsia="zh-CN"/>
        </w:rPr>
        <w:t>：</w:t>
      </w:r>
      <w:r>
        <w:rPr>
          <w:lang w:eastAsia="zh-CN"/>
        </w:rPr>
        <w:t>矿石量</w:t>
      </w:r>
      <w:r>
        <w:rPr>
          <w:rFonts w:hint="eastAsia"/>
          <w:lang w:eastAsia="zh-CN"/>
        </w:rPr>
        <w:t>94.77万</w:t>
      </w:r>
      <w:bookmarkStart w:id="1" w:name="_Hlk105753330"/>
      <w:r>
        <w:rPr>
          <w:rFonts w:hint="eastAsia"/>
          <w:lang w:eastAsia="zh-CN"/>
        </w:rPr>
        <w:t>立方米</w:t>
      </w:r>
      <w:bookmarkEnd w:id="1"/>
      <w:r>
        <w:rPr>
          <w:rFonts w:hint="eastAsia"/>
          <w:lang w:eastAsia="zh-CN"/>
        </w:rPr>
        <w:t>，设计损失8.01万立方米</w:t>
      </w:r>
      <w:r>
        <w:rPr>
          <w:lang w:eastAsia="zh-CN"/>
        </w:rPr>
        <w:t>。</w:t>
      </w:r>
    </w:p>
    <w:p w14:paraId="69FAC6C4">
      <w:pPr>
        <w:pStyle w:val="4"/>
        <w:adjustRightInd w:val="0"/>
        <w:snapToGrid w:val="0"/>
        <w:spacing w:line="560" w:lineRule="exact"/>
        <w:ind w:left="0" w:firstLine="561"/>
        <w:jc w:val="both"/>
        <w:rPr>
          <w:rFonts w:hint="eastAsia"/>
          <w:lang w:eastAsia="zh-CN"/>
        </w:rPr>
      </w:pPr>
      <w:r>
        <w:rPr>
          <w:lang w:eastAsia="zh-CN"/>
        </w:rPr>
        <w:t>《方案》中可采资源储量</w:t>
      </w:r>
      <w:r>
        <w:rPr>
          <w:rFonts w:hint="eastAsia"/>
          <w:lang w:eastAsia="zh-CN"/>
        </w:rPr>
        <w:t>：</w:t>
      </w:r>
      <w:r>
        <w:rPr>
          <w:lang w:eastAsia="zh-CN"/>
        </w:rPr>
        <w:t>采矿回采率为9</w:t>
      </w:r>
      <w:r>
        <w:rPr>
          <w:rFonts w:hint="eastAsia"/>
          <w:lang w:eastAsia="zh-CN"/>
        </w:rPr>
        <w:t>7</w:t>
      </w:r>
      <w:r>
        <w:rPr>
          <w:lang w:eastAsia="zh-CN"/>
        </w:rPr>
        <w:t>%，采矿损失量</w:t>
      </w:r>
      <w:r>
        <w:rPr>
          <w:rFonts w:hint="eastAsia"/>
          <w:lang w:eastAsia="zh-CN"/>
        </w:rPr>
        <w:t>2</w:t>
      </w:r>
      <w:r>
        <w:rPr>
          <w:lang w:eastAsia="zh-CN"/>
        </w:rPr>
        <w:t>.</w:t>
      </w:r>
      <w:r>
        <w:rPr>
          <w:rFonts w:hint="eastAsia"/>
          <w:lang w:eastAsia="zh-CN"/>
        </w:rPr>
        <w:t>84</w:t>
      </w:r>
      <w:r>
        <w:rPr>
          <w:lang w:eastAsia="zh-CN"/>
        </w:rPr>
        <w:t>万</w:t>
      </w:r>
      <w:r>
        <w:rPr>
          <w:rFonts w:hint="eastAsia"/>
          <w:lang w:eastAsia="zh-CN"/>
        </w:rPr>
        <w:t>立方米</w:t>
      </w:r>
      <w:r>
        <w:rPr>
          <w:lang w:eastAsia="zh-CN"/>
        </w:rPr>
        <w:t>；计算求得矿区范围内可采资源量为</w:t>
      </w:r>
      <w:r>
        <w:rPr>
          <w:rFonts w:hint="eastAsia"/>
          <w:lang w:eastAsia="zh-CN"/>
        </w:rPr>
        <w:t>91.93</w:t>
      </w:r>
      <w:r>
        <w:rPr>
          <w:lang w:eastAsia="zh-CN"/>
        </w:rPr>
        <w:t>万</w:t>
      </w:r>
      <w:r>
        <w:rPr>
          <w:rFonts w:hint="eastAsia"/>
          <w:lang w:eastAsia="zh-CN"/>
        </w:rPr>
        <w:t>立方米</w:t>
      </w:r>
      <w:r>
        <w:rPr>
          <w:lang w:eastAsia="zh-CN"/>
        </w:rPr>
        <w:t>。</w:t>
      </w:r>
    </w:p>
    <w:p w14:paraId="54A82F8C">
      <w:pPr>
        <w:pStyle w:val="4"/>
        <w:adjustRightInd w:val="0"/>
        <w:snapToGrid w:val="0"/>
        <w:spacing w:line="560" w:lineRule="exact"/>
        <w:ind w:left="0" w:firstLine="560" w:firstLineChars="200"/>
        <w:jc w:val="both"/>
        <w:rPr>
          <w:rFonts w:hint="eastAsia"/>
          <w:lang w:eastAsia="zh-CN"/>
        </w:rPr>
      </w:pPr>
      <w:r>
        <w:rPr>
          <w:lang w:eastAsia="zh-CN"/>
        </w:rPr>
        <w:t>本次推荐矿山生产规模为30</w:t>
      </w:r>
      <w:r>
        <w:rPr>
          <w:rFonts w:hint="eastAsia"/>
          <w:lang w:eastAsia="zh-CN"/>
        </w:rPr>
        <w:t>万立方米</w:t>
      </w:r>
      <w:r>
        <w:rPr>
          <w:lang w:eastAsia="zh-CN"/>
        </w:rPr>
        <w:t>/年；矿山服务年限</w:t>
      </w:r>
      <w:r>
        <w:rPr>
          <w:rFonts w:hint="eastAsia"/>
          <w:lang w:eastAsia="zh-CN"/>
        </w:rPr>
        <w:t>3</w:t>
      </w:r>
      <w:r>
        <w:rPr>
          <w:lang w:eastAsia="zh-CN"/>
        </w:rPr>
        <w:t>.</w:t>
      </w:r>
      <w:r>
        <w:rPr>
          <w:rFonts w:hint="eastAsia"/>
          <w:lang w:eastAsia="zh-CN"/>
        </w:rPr>
        <w:t>06</w:t>
      </w:r>
      <w:r>
        <w:rPr>
          <w:lang w:eastAsia="zh-CN"/>
        </w:rPr>
        <w:t>年（</w:t>
      </w:r>
      <w:r>
        <w:rPr>
          <w:rFonts w:hint="eastAsia"/>
          <w:lang w:eastAsia="zh-CN"/>
        </w:rPr>
        <w:t>3</w:t>
      </w:r>
      <w:r>
        <w:rPr>
          <w:lang w:eastAsia="zh-CN"/>
        </w:rPr>
        <w:t>年</w:t>
      </w:r>
      <w:r>
        <w:rPr>
          <w:rFonts w:hint="eastAsia"/>
          <w:lang w:eastAsia="zh-CN"/>
        </w:rPr>
        <w:t>1</w:t>
      </w:r>
      <w:r>
        <w:rPr>
          <w:lang w:eastAsia="zh-CN"/>
        </w:rPr>
        <w:t>个月）。</w:t>
      </w:r>
    </w:p>
    <w:p w14:paraId="5334E407">
      <w:pPr>
        <w:pStyle w:val="4"/>
        <w:adjustRightInd w:val="0"/>
        <w:snapToGrid w:val="0"/>
        <w:spacing w:line="560" w:lineRule="exact"/>
        <w:ind w:left="0" w:firstLine="562" w:firstLineChars="200"/>
        <w:jc w:val="both"/>
        <w:rPr>
          <w:rFonts w:hint="eastAsia"/>
          <w:b/>
          <w:bCs/>
          <w:lang w:eastAsia="zh-CN"/>
        </w:rPr>
      </w:pPr>
      <w:r>
        <w:rPr>
          <w:b/>
          <w:bCs/>
          <w:lang w:eastAsia="zh-CN"/>
        </w:rPr>
        <w:t>四、开发方案</w:t>
      </w:r>
    </w:p>
    <w:p w14:paraId="2F1CB60A">
      <w:pPr>
        <w:pStyle w:val="4"/>
        <w:adjustRightInd w:val="0"/>
        <w:snapToGrid w:val="0"/>
        <w:spacing w:line="560" w:lineRule="exact"/>
        <w:ind w:left="0" w:firstLine="561"/>
        <w:jc w:val="both"/>
        <w:rPr>
          <w:rFonts w:hint="eastAsia"/>
          <w:lang w:eastAsia="zh-CN"/>
        </w:rPr>
      </w:pPr>
      <w:r>
        <w:rPr>
          <w:lang w:eastAsia="zh-CN"/>
        </w:rPr>
        <w:t>矿山采用</w:t>
      </w:r>
      <w:r>
        <w:rPr>
          <w:rFonts w:hint="eastAsia"/>
          <w:lang w:eastAsia="zh-CN"/>
        </w:rPr>
        <w:t>凹陷露天开采方式，</w:t>
      </w:r>
      <w:r>
        <w:rPr>
          <w:lang w:eastAsia="zh-CN"/>
        </w:rPr>
        <w:t>公路开拓汽车运输方案；自上而下、水平分层台阶式采矿方法。</w:t>
      </w:r>
    </w:p>
    <w:p w14:paraId="7B805AC5">
      <w:pPr>
        <w:pStyle w:val="4"/>
        <w:adjustRightInd w:val="0"/>
        <w:snapToGrid w:val="0"/>
        <w:spacing w:line="560" w:lineRule="exact"/>
        <w:ind w:left="0" w:firstLine="562" w:firstLineChars="200"/>
        <w:jc w:val="both"/>
        <w:rPr>
          <w:rFonts w:hint="eastAsia"/>
          <w:b/>
          <w:bCs/>
          <w:lang w:eastAsia="zh-CN"/>
        </w:rPr>
      </w:pPr>
      <w:r>
        <w:rPr>
          <w:b/>
          <w:bCs/>
          <w:lang w:eastAsia="zh-CN"/>
        </w:rPr>
        <w:t>五、产品方案</w:t>
      </w:r>
    </w:p>
    <w:p w14:paraId="721F2430">
      <w:pPr>
        <w:pStyle w:val="4"/>
        <w:adjustRightInd w:val="0"/>
        <w:snapToGrid w:val="0"/>
        <w:spacing w:line="560" w:lineRule="exact"/>
        <w:ind w:left="0" w:firstLine="561"/>
        <w:jc w:val="both"/>
        <w:rPr>
          <w:rFonts w:hint="eastAsia"/>
          <w:lang w:eastAsia="zh-CN"/>
        </w:rPr>
      </w:pPr>
      <w:r>
        <w:rPr>
          <w:rFonts w:hint="eastAsia"/>
          <w:lang w:eastAsia="zh-CN"/>
        </w:rPr>
        <w:t>原矿经过筛分获得0.15～10mm砂、10～20mm砾石（小石子）、20～40mm砾石（大石子），40～80mm的卵石、碎石进行破碎加工成机制砂。</w:t>
      </w:r>
    </w:p>
    <w:p w14:paraId="0627402A">
      <w:pPr>
        <w:pStyle w:val="4"/>
        <w:adjustRightInd w:val="0"/>
        <w:snapToGrid w:val="0"/>
        <w:spacing w:line="560" w:lineRule="exact"/>
        <w:ind w:left="0" w:firstLine="562" w:firstLineChars="200"/>
        <w:jc w:val="both"/>
        <w:rPr>
          <w:rFonts w:hint="eastAsia"/>
          <w:b/>
          <w:lang w:eastAsia="zh-CN"/>
        </w:rPr>
      </w:pPr>
      <w:r>
        <w:rPr>
          <w:b/>
          <w:bCs/>
          <w:lang w:eastAsia="zh-CN"/>
        </w:rPr>
        <w:t>六、绿色矿山建设</w:t>
      </w:r>
    </w:p>
    <w:p w14:paraId="07126E89">
      <w:pPr>
        <w:pStyle w:val="4"/>
        <w:adjustRightInd w:val="0"/>
        <w:snapToGrid w:val="0"/>
        <w:spacing w:line="560" w:lineRule="exact"/>
        <w:ind w:left="0" w:firstLine="561"/>
        <w:jc w:val="both"/>
        <w:rPr>
          <w:rFonts w:hint="eastAsia"/>
          <w:spacing w:val="-4"/>
          <w:lang w:eastAsia="zh-CN"/>
        </w:rPr>
      </w:pPr>
      <w:r>
        <w:rPr>
          <w:spacing w:val="-3"/>
          <w:lang w:eastAsia="zh-CN"/>
        </w:rPr>
        <w:t>《方案》中采用的开采工艺符合《</w:t>
      </w:r>
      <w:r>
        <w:rPr>
          <w:rFonts w:hint="eastAsia"/>
          <w:spacing w:val="-3"/>
          <w:lang w:eastAsia="zh-CN"/>
        </w:rPr>
        <w:t>砂石行业</w:t>
      </w:r>
      <w:r>
        <w:rPr>
          <w:spacing w:val="-3"/>
          <w:lang w:eastAsia="zh-CN"/>
        </w:rPr>
        <w:t>绿色矿山建设规范》</w:t>
      </w:r>
      <w:r>
        <w:rPr>
          <w:lang w:eastAsia="zh-CN"/>
        </w:rPr>
        <w:t xml:space="preserve">（DZ/ </w:t>
      </w:r>
      <w:r>
        <w:rPr>
          <w:spacing w:val="-5"/>
          <w:lang w:eastAsia="zh-CN"/>
        </w:rPr>
        <w:t>T0316-2018）</w:t>
      </w:r>
      <w:r>
        <w:rPr>
          <w:spacing w:val="-4"/>
          <w:lang w:eastAsia="zh-CN"/>
        </w:rPr>
        <w:t>要求。</w:t>
      </w:r>
      <w:r>
        <w:rPr>
          <w:rFonts w:hint="eastAsia"/>
          <w:spacing w:val="-4"/>
          <w:lang w:eastAsia="zh-CN"/>
        </w:rPr>
        <w:t>矿山开采矿种为建筑用砂，“三率”指标对标</w:t>
      </w:r>
      <w:r>
        <w:rPr>
          <w:lang w:eastAsia="zh-CN"/>
        </w:rPr>
        <w:t>《</w:t>
      </w:r>
      <w:r>
        <w:rPr>
          <w:rFonts w:hint="eastAsia"/>
          <w:lang w:eastAsia="zh-CN"/>
        </w:rPr>
        <w:t>粉石英等</w:t>
      </w:r>
      <w:r>
        <w:rPr>
          <w:lang w:eastAsia="zh-CN"/>
        </w:rPr>
        <w:t>矿产资源合理开发利用“三率”最低指标要求（试行）》</w:t>
      </w:r>
      <w:r>
        <w:rPr>
          <w:rFonts w:hint="eastAsia"/>
          <w:lang w:eastAsia="zh-CN"/>
        </w:rPr>
        <w:t>中建筑用石料控制指标和</w:t>
      </w:r>
      <w:r>
        <w:rPr>
          <w:spacing w:val="-3"/>
          <w:lang w:eastAsia="zh-CN"/>
        </w:rPr>
        <w:t>《</w:t>
      </w:r>
      <w:r>
        <w:rPr>
          <w:rFonts w:hint="eastAsia"/>
          <w:spacing w:val="-3"/>
          <w:lang w:eastAsia="zh-CN"/>
        </w:rPr>
        <w:t>砂石行业</w:t>
      </w:r>
      <w:r>
        <w:rPr>
          <w:spacing w:val="-3"/>
          <w:lang w:eastAsia="zh-CN"/>
        </w:rPr>
        <w:t>绿色矿山建设规范》</w:t>
      </w:r>
      <w:r>
        <w:rPr>
          <w:rFonts w:hint="eastAsia"/>
          <w:spacing w:val="-5"/>
          <w:lang w:eastAsia="zh-CN"/>
        </w:rPr>
        <w:t>控制指标</w:t>
      </w:r>
      <w:r>
        <w:rPr>
          <w:rFonts w:hint="eastAsia"/>
          <w:lang w:eastAsia="zh-CN"/>
        </w:rPr>
        <w:t>，</w:t>
      </w:r>
      <w:r>
        <w:rPr>
          <w:spacing w:val="-4"/>
          <w:lang w:eastAsia="zh-CN"/>
        </w:rPr>
        <w:t>采矿回采率、选矿回收率、综合利用率指标为：</w:t>
      </w:r>
    </w:p>
    <w:p w14:paraId="6E91A046">
      <w:pPr>
        <w:pStyle w:val="4"/>
        <w:adjustRightInd w:val="0"/>
        <w:snapToGrid w:val="0"/>
        <w:spacing w:line="560" w:lineRule="exact"/>
        <w:ind w:left="0" w:firstLine="561"/>
        <w:jc w:val="both"/>
        <w:rPr>
          <w:rFonts w:hint="eastAsia"/>
          <w:lang w:eastAsia="zh-CN"/>
        </w:rPr>
      </w:pPr>
      <w:r>
        <w:rPr>
          <w:lang w:eastAsia="zh-CN"/>
        </w:rPr>
        <w:t>采</w:t>
      </w:r>
      <w:r>
        <w:rPr>
          <w:rFonts w:hint="eastAsia"/>
          <w:lang w:eastAsia="zh-CN"/>
        </w:rPr>
        <w:t>矿</w:t>
      </w:r>
      <w:r>
        <w:rPr>
          <w:lang w:eastAsia="zh-CN"/>
        </w:rPr>
        <w:t>回采率：本矿属于简单露天矿山，采矿回采率为95%；根据国土资源部2021年第21号《</w:t>
      </w:r>
      <w:r>
        <w:rPr>
          <w:rFonts w:hint="eastAsia"/>
          <w:lang w:eastAsia="zh-CN"/>
        </w:rPr>
        <w:t>粉石英</w:t>
      </w:r>
      <w:r>
        <w:rPr>
          <w:lang w:eastAsia="zh-CN"/>
        </w:rPr>
        <w:t>等矿产资源合理开发利用“三率”最低指标要求（试行）》要求：露天矿山开采回采率不低于95%。本矿山《方案》</w:t>
      </w:r>
      <w:r>
        <w:rPr>
          <w:rFonts w:hint="eastAsia"/>
          <w:lang w:eastAsia="zh-CN"/>
        </w:rPr>
        <w:t>设计</w:t>
      </w:r>
      <w:r>
        <w:rPr>
          <w:lang w:eastAsia="zh-CN"/>
        </w:rPr>
        <w:t>开采回采率为9</w:t>
      </w:r>
      <w:r>
        <w:rPr>
          <w:rFonts w:hint="eastAsia"/>
          <w:lang w:eastAsia="zh-CN"/>
        </w:rPr>
        <w:t>7</w:t>
      </w:r>
      <w:r>
        <w:rPr>
          <w:lang w:eastAsia="zh-CN"/>
        </w:rPr>
        <w:t>%，满足规范要求；</w:t>
      </w:r>
      <w:bookmarkStart w:id="4" w:name="_GoBack"/>
      <w:bookmarkEnd w:id="4"/>
    </w:p>
    <w:p w14:paraId="5459DFC6">
      <w:pPr>
        <w:pStyle w:val="4"/>
        <w:adjustRightInd w:val="0"/>
        <w:snapToGrid w:val="0"/>
        <w:spacing w:line="560" w:lineRule="exact"/>
        <w:ind w:left="0" w:firstLine="561"/>
        <w:jc w:val="both"/>
        <w:rPr>
          <w:rFonts w:hint="eastAsia"/>
          <w:lang w:eastAsia="zh-CN"/>
        </w:rPr>
      </w:pPr>
      <w:r>
        <w:rPr>
          <w:rFonts w:hint="eastAsia"/>
          <w:lang w:eastAsia="zh-CN"/>
        </w:rPr>
        <w:t>选矿回收率：指标对此无具体要求，根据建筑用砂石料，不同的粒径要求，将开采的砂石料用筛沙机进行机械筛分，不涉及选矿回收。</w:t>
      </w:r>
    </w:p>
    <w:p w14:paraId="1D911F28">
      <w:pPr>
        <w:pStyle w:val="4"/>
        <w:adjustRightInd w:val="0"/>
        <w:snapToGrid w:val="0"/>
        <w:spacing w:line="560" w:lineRule="exact"/>
        <w:ind w:left="0" w:firstLine="561"/>
        <w:jc w:val="both"/>
        <w:rPr>
          <w:rFonts w:hint="eastAsia"/>
          <w:lang w:eastAsia="zh-CN"/>
        </w:rPr>
      </w:pPr>
      <w:r>
        <w:rPr>
          <w:lang w:eastAsia="zh-CN"/>
        </w:rPr>
        <w:t>综合利用率：</w:t>
      </w:r>
      <w:r>
        <w:rPr>
          <w:rFonts w:hint="eastAsia"/>
          <w:lang w:eastAsia="zh-CN"/>
        </w:rPr>
        <w:t>指标对此无具体要求，本矿服务年限内剥离表土全部集中堆放于以往老采坑范围之内,后期全部用作复垦用土；筛分尾矿（小于</w:t>
      </w:r>
      <w:r>
        <w:rPr>
          <w:lang w:eastAsia="zh-CN"/>
        </w:rPr>
        <w:t>0.15mm</w:t>
      </w:r>
      <w:r>
        <w:rPr>
          <w:rFonts w:hint="eastAsia"/>
          <w:lang w:eastAsia="zh-CN"/>
        </w:rPr>
        <w:t>的粉土及大于8</w:t>
      </w:r>
      <w:r>
        <w:rPr>
          <w:lang w:eastAsia="zh-CN"/>
        </w:rPr>
        <w:t>0mm</w:t>
      </w:r>
      <w:r>
        <w:rPr>
          <w:rFonts w:hint="eastAsia"/>
          <w:lang w:eastAsia="zh-CN"/>
        </w:rPr>
        <w:t>的卵石）定期回填露天采坑，压实对矿区环境不产生影响，固废利用率1</w:t>
      </w:r>
      <w:r>
        <w:rPr>
          <w:lang w:eastAsia="zh-CN"/>
        </w:rPr>
        <w:t>00</w:t>
      </w:r>
      <w:r>
        <w:rPr>
          <w:rFonts w:hint="eastAsia"/>
          <w:lang w:eastAsia="zh-CN"/>
        </w:rPr>
        <w:t>%；矿山服务年限较短，用水量少，主要为降尘及洗砂用水，降尘用水蒸发，洗砂用水可沉淀后重复利用，</w:t>
      </w:r>
      <w:r>
        <w:rPr>
          <w:lang w:eastAsia="zh-CN"/>
        </w:rPr>
        <w:t>满足规范要求。</w:t>
      </w:r>
    </w:p>
    <w:p w14:paraId="36CDF342">
      <w:pPr>
        <w:pStyle w:val="4"/>
        <w:adjustRightInd w:val="0"/>
        <w:snapToGrid w:val="0"/>
        <w:spacing w:line="560" w:lineRule="exact"/>
        <w:ind w:left="0" w:firstLine="561"/>
        <w:jc w:val="both"/>
        <w:rPr>
          <w:rFonts w:hint="eastAsia"/>
          <w:b/>
          <w:bCs/>
          <w:lang w:eastAsia="zh-CN"/>
        </w:rPr>
      </w:pPr>
      <w:r>
        <w:rPr>
          <w:b/>
          <w:bCs/>
          <w:lang w:eastAsia="zh-CN"/>
        </w:rPr>
        <w:t>七、矿区地质环境治理恢复</w:t>
      </w:r>
    </w:p>
    <w:p w14:paraId="15FA0558">
      <w:pPr>
        <w:pStyle w:val="4"/>
        <w:adjustRightInd w:val="0"/>
        <w:snapToGrid w:val="0"/>
        <w:spacing w:line="560" w:lineRule="exact"/>
        <w:ind w:left="0" w:firstLine="561"/>
        <w:jc w:val="both"/>
        <w:rPr>
          <w:rFonts w:hint="eastAsia"/>
          <w:lang w:eastAsia="zh-CN"/>
        </w:rPr>
      </w:pPr>
      <w:r>
        <w:rPr>
          <w:lang w:eastAsia="zh-CN"/>
        </w:rPr>
        <w:t>（一）本次工作查明了矿山环境现状，分析了矿山环境发展趋势，其论述内容基本全面，结论基本正确。</w:t>
      </w:r>
    </w:p>
    <w:p w14:paraId="5D8C8734">
      <w:pPr>
        <w:pStyle w:val="4"/>
        <w:adjustRightInd w:val="0"/>
        <w:snapToGrid w:val="0"/>
        <w:spacing w:line="560" w:lineRule="exact"/>
        <w:ind w:left="0" w:firstLine="561"/>
        <w:jc w:val="both"/>
        <w:rPr>
          <w:rFonts w:hint="eastAsia"/>
          <w:lang w:eastAsia="zh-CN"/>
        </w:rPr>
      </w:pPr>
      <w:r>
        <w:rPr>
          <w:lang w:eastAsia="zh-CN"/>
        </w:rPr>
        <w:t>（二）评估区重要程度为</w:t>
      </w:r>
      <w:r>
        <w:rPr>
          <w:rFonts w:hint="eastAsia"/>
          <w:lang w:eastAsia="zh-CN"/>
        </w:rPr>
        <w:t>较重要区</w:t>
      </w:r>
      <w:r>
        <w:rPr>
          <w:lang w:eastAsia="zh-CN"/>
        </w:rPr>
        <w:t>，矿山地质环境条件复杂程度为</w:t>
      </w:r>
      <w:r>
        <w:rPr>
          <w:rFonts w:hint="eastAsia"/>
          <w:lang w:eastAsia="zh-CN"/>
        </w:rPr>
        <w:t>中等</w:t>
      </w:r>
      <w:r>
        <w:rPr>
          <w:lang w:eastAsia="zh-CN"/>
        </w:rPr>
        <w:t>，建设规模属大型矿山，本矿山地质环境影响评估等级为</w:t>
      </w:r>
      <w:r>
        <w:rPr>
          <w:rFonts w:hint="eastAsia"/>
          <w:lang w:eastAsia="zh-CN"/>
        </w:rPr>
        <w:t>一</w:t>
      </w:r>
      <w:r>
        <w:rPr>
          <w:lang w:eastAsia="zh-CN"/>
        </w:rPr>
        <w:t>级。评估等级划分正确，评估范围确定合理。</w:t>
      </w:r>
    </w:p>
    <w:p w14:paraId="732BCD19">
      <w:pPr>
        <w:pStyle w:val="4"/>
        <w:adjustRightInd w:val="0"/>
        <w:snapToGrid w:val="0"/>
        <w:spacing w:line="560" w:lineRule="exact"/>
        <w:ind w:left="0" w:firstLine="561"/>
        <w:jc w:val="both"/>
        <w:rPr>
          <w:rFonts w:hint="eastAsia"/>
          <w:lang w:eastAsia="zh-CN"/>
        </w:rPr>
      </w:pPr>
      <w:r>
        <w:rPr>
          <w:lang w:eastAsia="zh-CN"/>
        </w:rPr>
        <w:t>（三）矿山地质环境影响现状评估分区：根据评估区内地质灾害、含水层破坏、地形地貌景观影响、水土环境污染等方面的现状评估结果，考虑各方面影响情况和影响面积的叠加，将评估区内矿山地质环境影响现状评估划分</w:t>
      </w:r>
      <w:r>
        <w:rPr>
          <w:rFonts w:hint="eastAsia"/>
          <w:lang w:eastAsia="zh-CN"/>
        </w:rPr>
        <w:t>为3个分区</w:t>
      </w:r>
      <w:r>
        <w:rPr>
          <w:lang w:eastAsia="zh-CN"/>
        </w:rPr>
        <w:t>。</w:t>
      </w:r>
    </w:p>
    <w:p w14:paraId="4F4312A9">
      <w:pPr>
        <w:pStyle w:val="4"/>
        <w:adjustRightInd w:val="0"/>
        <w:snapToGrid w:val="0"/>
        <w:spacing w:line="560" w:lineRule="exact"/>
        <w:ind w:left="0" w:firstLine="561"/>
        <w:jc w:val="both"/>
        <w:rPr>
          <w:rFonts w:hint="eastAsia"/>
          <w:lang w:eastAsia="zh-CN"/>
        </w:rPr>
      </w:pPr>
      <w:r>
        <w:rPr>
          <w:rFonts w:hint="eastAsia"/>
          <w:lang w:eastAsia="zh-CN"/>
        </w:rPr>
        <w:t>严重区：评估区范围内已存在的露天采坑挖损范围为严重区，面积27.9550公顷。现状条件下评估区各类地质灾害的危险性小；矿山开采对含水层破坏程度较轻；矿山开采对地形地貌景观破坏程度严重；对水土大气环境影响较轻。</w:t>
      </w:r>
    </w:p>
    <w:p w14:paraId="5B2FB85B">
      <w:pPr>
        <w:pStyle w:val="4"/>
        <w:adjustRightInd w:val="0"/>
        <w:snapToGrid w:val="0"/>
        <w:spacing w:line="560" w:lineRule="exact"/>
        <w:ind w:left="0" w:firstLine="560" w:firstLineChars="200"/>
        <w:jc w:val="both"/>
        <w:rPr>
          <w:rFonts w:hint="eastAsia"/>
          <w:lang w:eastAsia="zh-CN"/>
        </w:rPr>
      </w:pPr>
      <w:r>
        <w:rPr>
          <w:rFonts w:hint="eastAsia"/>
          <w:lang w:eastAsia="zh-CN"/>
        </w:rPr>
        <w:t>较严重区：评估区范围内工业广场、办公生活区压占土地范围，面积</w:t>
      </w:r>
      <w:r>
        <w:rPr>
          <w:lang w:eastAsia="zh-CN"/>
        </w:rPr>
        <w:t>1.8538</w:t>
      </w:r>
      <w:r>
        <w:rPr>
          <w:rFonts w:hint="eastAsia"/>
          <w:lang w:eastAsia="zh-CN"/>
        </w:rPr>
        <w:t>公顷。现状条件下评估区各类地质灾害的危险性小；矿山开采对含水层破坏程度较轻；矿山开采对地形地貌景观破坏程度较严重；对水土大气环境影响较轻。</w:t>
      </w:r>
    </w:p>
    <w:p w14:paraId="4878E261">
      <w:pPr>
        <w:pStyle w:val="4"/>
        <w:adjustRightInd w:val="0"/>
        <w:snapToGrid w:val="0"/>
        <w:spacing w:line="560" w:lineRule="exact"/>
        <w:ind w:left="0" w:firstLine="560" w:firstLineChars="200"/>
        <w:jc w:val="both"/>
        <w:rPr>
          <w:rFonts w:hint="eastAsia"/>
          <w:lang w:eastAsia="zh-CN"/>
        </w:rPr>
      </w:pPr>
      <w:r>
        <w:rPr>
          <w:rFonts w:hint="eastAsia"/>
          <w:lang w:eastAsia="zh-CN"/>
        </w:rPr>
        <w:t>较轻区：评估区内除严重区及较严重区以外区域为较轻区，面积</w:t>
      </w:r>
      <w:r>
        <w:rPr>
          <w:lang w:eastAsia="zh-CN"/>
        </w:rPr>
        <w:t>12.956</w:t>
      </w:r>
      <w:r>
        <w:rPr>
          <w:rFonts w:hint="eastAsia"/>
          <w:lang w:eastAsia="zh-CN"/>
        </w:rPr>
        <w:t>0公顷。</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2335BAFD">
      <w:pPr>
        <w:pStyle w:val="4"/>
        <w:adjustRightInd w:val="0"/>
        <w:snapToGrid w:val="0"/>
        <w:spacing w:line="560" w:lineRule="exact"/>
        <w:ind w:left="0" w:firstLine="561"/>
        <w:jc w:val="both"/>
        <w:rPr>
          <w:rFonts w:hint="eastAsia"/>
          <w:lang w:eastAsia="zh-CN"/>
        </w:rPr>
      </w:pPr>
      <w:r>
        <w:rPr>
          <w:lang w:eastAsia="zh-CN"/>
        </w:rPr>
        <w:t>（四）矿山地质环境影响预测评估分区：根据评估区内地质灾害、含水层破坏、地形地貌景观影响、水土环境污染、大气环境污染等方面的预测评估结果，考虑各方面影响情况和影响面积的叠加，将评估区内矿山地质环境影响预测评估划分</w:t>
      </w:r>
      <w:r>
        <w:rPr>
          <w:rFonts w:hint="eastAsia"/>
          <w:lang w:eastAsia="zh-CN"/>
        </w:rPr>
        <w:t>2</w:t>
      </w:r>
      <w:r>
        <w:rPr>
          <w:lang w:eastAsia="zh-CN"/>
        </w:rPr>
        <w:t>个分区。</w:t>
      </w:r>
    </w:p>
    <w:p w14:paraId="117D6EA4">
      <w:pPr>
        <w:pStyle w:val="4"/>
        <w:adjustRightInd w:val="0"/>
        <w:snapToGrid w:val="0"/>
        <w:spacing w:line="560" w:lineRule="exact"/>
        <w:ind w:left="0" w:firstLine="561"/>
        <w:jc w:val="both"/>
        <w:rPr>
          <w:rFonts w:hint="eastAsia"/>
          <w:lang w:eastAsia="zh-CN"/>
        </w:rPr>
      </w:pPr>
      <w:r>
        <w:rPr>
          <w:lang w:eastAsia="zh-CN"/>
        </w:rPr>
        <w:t>严重区：面积</w:t>
      </w:r>
      <w:r>
        <w:rPr>
          <w:rFonts w:hint="eastAsia"/>
          <w:lang w:eastAsia="zh-CN"/>
        </w:rPr>
        <w:t>34.6175公顷</w:t>
      </w:r>
      <w:r>
        <w:rPr>
          <w:lang w:eastAsia="zh-CN"/>
        </w:rPr>
        <w:t>，包括露天采场</w:t>
      </w:r>
      <w:r>
        <w:rPr>
          <w:rFonts w:hint="eastAsia"/>
          <w:lang w:eastAsia="zh-CN"/>
        </w:rPr>
        <w:t>（工业广场、办公生活区、表土堆放场等均位于露天采场之内）</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严重</w:t>
      </w:r>
      <w:r>
        <w:rPr>
          <w:lang w:eastAsia="zh-CN"/>
        </w:rPr>
        <w:t>；对水土环境污染较轻；对大气环境污染较轻。</w:t>
      </w:r>
    </w:p>
    <w:p w14:paraId="425A5CFF">
      <w:pPr>
        <w:pStyle w:val="4"/>
        <w:adjustRightInd w:val="0"/>
        <w:snapToGrid w:val="0"/>
        <w:spacing w:line="560" w:lineRule="exact"/>
        <w:ind w:left="0" w:firstLine="561"/>
        <w:jc w:val="both"/>
        <w:rPr>
          <w:rFonts w:hint="eastAsia"/>
          <w:lang w:eastAsia="zh-CN"/>
        </w:rPr>
      </w:pPr>
      <w:r>
        <w:rPr>
          <w:lang w:eastAsia="zh-CN"/>
        </w:rPr>
        <w:t>较轻区：面积8.1473</w:t>
      </w:r>
      <w:r>
        <w:rPr>
          <w:rFonts w:hint="eastAsia"/>
          <w:lang w:eastAsia="zh-CN"/>
        </w:rPr>
        <w:t>公顷</w:t>
      </w:r>
      <w:r>
        <w:rPr>
          <w:lang w:eastAsia="zh-CN"/>
        </w:rPr>
        <w:t>，</w:t>
      </w:r>
      <w:r>
        <w:rPr>
          <w:rFonts w:hint="eastAsia"/>
          <w:lang w:eastAsia="zh-CN"/>
        </w:rPr>
        <w:t>除严重区以外区域为较轻区</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1FAE73C9">
      <w:pPr>
        <w:pStyle w:val="4"/>
        <w:adjustRightInd w:val="0"/>
        <w:snapToGrid w:val="0"/>
        <w:spacing w:line="560" w:lineRule="exact"/>
        <w:ind w:left="0" w:firstLine="561"/>
        <w:jc w:val="both"/>
        <w:rPr>
          <w:rFonts w:hint="eastAsia"/>
          <w:lang w:eastAsia="zh-CN"/>
        </w:rPr>
      </w:pPr>
      <w:r>
        <w:rPr>
          <w:lang w:eastAsia="zh-CN"/>
        </w:rPr>
        <w:t>（五）确定了矿山环境保护与治理恢复的原则、目标和任务，对矿区进行了矿山环境保护与治理恢复分区，并提出了具体的保护、治理以及监测方案，并进行了经费概算。</w:t>
      </w:r>
    </w:p>
    <w:p w14:paraId="029CB4FF">
      <w:pPr>
        <w:pStyle w:val="4"/>
        <w:adjustRightInd w:val="0"/>
        <w:snapToGrid w:val="0"/>
        <w:spacing w:line="560" w:lineRule="exact"/>
        <w:ind w:left="0" w:firstLine="561"/>
        <w:jc w:val="both"/>
        <w:rPr>
          <w:rFonts w:hint="eastAsia"/>
          <w:lang w:eastAsia="zh-CN"/>
        </w:rPr>
      </w:pPr>
      <w:r>
        <w:rPr>
          <w:lang w:eastAsia="zh-CN"/>
        </w:rPr>
        <w:t>1、矿山环境保护与综合治理分区</w:t>
      </w:r>
    </w:p>
    <w:p w14:paraId="50D85F58">
      <w:pPr>
        <w:pStyle w:val="4"/>
        <w:adjustRightInd w:val="0"/>
        <w:snapToGrid w:val="0"/>
        <w:spacing w:line="560" w:lineRule="exact"/>
        <w:ind w:left="0" w:firstLine="561"/>
        <w:jc w:val="both"/>
        <w:rPr>
          <w:rFonts w:hint="eastAsia"/>
          <w:lang w:eastAsia="zh-CN"/>
        </w:rPr>
      </w:pPr>
      <w:r>
        <w:rPr>
          <w:lang w:eastAsia="zh-CN"/>
        </w:rPr>
        <w:t>依据现状评估和预测评估结论，将本矿山地质环境保护与恢复治理分区划分为重点防治区(Ⅰ)和一般防治区(Ⅲ)。</w:t>
      </w:r>
    </w:p>
    <w:p w14:paraId="17CEA278">
      <w:pPr>
        <w:pStyle w:val="4"/>
        <w:adjustRightInd w:val="0"/>
        <w:snapToGrid w:val="0"/>
        <w:spacing w:line="560" w:lineRule="exact"/>
        <w:ind w:left="0" w:firstLine="561"/>
        <w:jc w:val="both"/>
        <w:rPr>
          <w:rFonts w:hint="eastAsia"/>
          <w:lang w:eastAsia="zh-CN"/>
        </w:rPr>
      </w:pPr>
      <w:r>
        <w:rPr>
          <w:lang w:eastAsia="zh-CN"/>
        </w:rPr>
        <w:t>（1）矿山地质环境保护与恢复治理重点防治区（Ⅰ）面积</w:t>
      </w:r>
      <w:r>
        <w:rPr>
          <w:rFonts w:hint="eastAsia"/>
          <w:lang w:eastAsia="zh-CN"/>
        </w:rPr>
        <w:t>34.6175公顷</w:t>
      </w:r>
      <w:r>
        <w:rPr>
          <w:lang w:eastAsia="zh-CN"/>
        </w:rPr>
        <w:t>，</w:t>
      </w:r>
      <w:r>
        <w:rPr>
          <w:rFonts w:hint="eastAsia"/>
          <w:lang w:eastAsia="zh-CN"/>
        </w:rPr>
        <w:t>包括老采坑、工业广场、办公生活区、规划表土堆放场均位于露天采场范围之内</w:t>
      </w:r>
      <w:r>
        <w:rPr>
          <w:lang w:eastAsia="zh-CN"/>
        </w:rPr>
        <w:t>。</w:t>
      </w:r>
    </w:p>
    <w:p w14:paraId="1F56F11A">
      <w:pPr>
        <w:pStyle w:val="4"/>
        <w:adjustRightInd w:val="0"/>
        <w:snapToGrid w:val="0"/>
        <w:spacing w:line="560" w:lineRule="exact"/>
        <w:ind w:left="0" w:firstLine="561"/>
        <w:jc w:val="both"/>
        <w:rPr>
          <w:rFonts w:hint="eastAsia"/>
          <w:lang w:eastAsia="zh-CN"/>
        </w:rPr>
      </w:pPr>
      <w:r>
        <w:rPr>
          <w:lang w:eastAsia="zh-CN"/>
        </w:rPr>
        <w:t>（2）矿山地质环境保护与恢复治理一般防治区（Ⅲ）面积</w:t>
      </w:r>
      <w:r>
        <w:rPr>
          <w:rFonts w:hint="eastAsia"/>
          <w:lang w:eastAsia="zh-CN"/>
        </w:rPr>
        <w:t>8.1473公顷</w:t>
      </w:r>
      <w:r>
        <w:rPr>
          <w:lang w:eastAsia="zh-CN"/>
        </w:rPr>
        <w:t>，为除重点防治区外评估区内其他未破坏地区。</w:t>
      </w:r>
    </w:p>
    <w:p w14:paraId="656C3AC0">
      <w:pPr>
        <w:pStyle w:val="4"/>
        <w:adjustRightInd w:val="0"/>
        <w:snapToGrid w:val="0"/>
        <w:spacing w:line="560" w:lineRule="exact"/>
        <w:ind w:left="0" w:firstLine="561"/>
        <w:jc w:val="both"/>
        <w:rPr>
          <w:rFonts w:hint="eastAsia"/>
          <w:lang w:eastAsia="zh-CN"/>
        </w:rPr>
      </w:pPr>
      <w:r>
        <w:rPr>
          <w:lang w:eastAsia="zh-CN"/>
        </w:rPr>
        <w:t>2、地质环境治理工程</w:t>
      </w:r>
    </w:p>
    <w:p w14:paraId="0416BC75">
      <w:pPr>
        <w:pStyle w:val="4"/>
        <w:adjustRightInd w:val="0"/>
        <w:snapToGrid w:val="0"/>
        <w:spacing w:line="560" w:lineRule="exact"/>
        <w:ind w:left="0" w:firstLine="561"/>
        <w:jc w:val="both"/>
        <w:rPr>
          <w:rFonts w:hint="eastAsia"/>
          <w:lang w:eastAsia="zh-CN"/>
        </w:rPr>
      </w:pPr>
      <w:r>
        <w:rPr>
          <w:lang w:eastAsia="zh-CN"/>
        </w:rPr>
        <w:t>（1）矿山地质灾害防治及监测：在露天采场入口及</w:t>
      </w:r>
      <w:r>
        <w:rPr>
          <w:rFonts w:hint="eastAsia"/>
          <w:lang w:eastAsia="zh-CN"/>
        </w:rPr>
        <w:t>采坑边坡</w:t>
      </w:r>
      <w:r>
        <w:rPr>
          <w:lang w:eastAsia="zh-CN"/>
        </w:rPr>
        <w:t>地段设置警示牌。露天采矿场、</w:t>
      </w:r>
      <w:r>
        <w:rPr>
          <w:rFonts w:hint="eastAsia"/>
          <w:lang w:eastAsia="zh-CN"/>
        </w:rPr>
        <w:t>以往老采坑周围</w:t>
      </w:r>
      <w:r>
        <w:rPr>
          <w:lang w:eastAsia="zh-CN"/>
        </w:rPr>
        <w:t>设置铁丝网围栏</w:t>
      </w:r>
      <w:r>
        <w:rPr>
          <w:rFonts w:hint="eastAsia"/>
          <w:lang w:eastAsia="zh-CN"/>
        </w:rPr>
        <w:t>25</w:t>
      </w:r>
      <w:r>
        <w:rPr>
          <w:lang w:eastAsia="zh-CN"/>
        </w:rPr>
        <w:t>00米；全矿安装警示牌</w:t>
      </w:r>
      <w:r>
        <w:rPr>
          <w:rFonts w:hint="eastAsia"/>
          <w:lang w:eastAsia="zh-CN"/>
        </w:rPr>
        <w:t>2</w:t>
      </w:r>
      <w:r>
        <w:rPr>
          <w:lang w:eastAsia="zh-CN"/>
        </w:rPr>
        <w:t>0个。</w:t>
      </w:r>
    </w:p>
    <w:p w14:paraId="354D7194">
      <w:pPr>
        <w:pStyle w:val="4"/>
        <w:adjustRightInd w:val="0"/>
        <w:snapToGrid w:val="0"/>
        <w:spacing w:line="560" w:lineRule="exact"/>
        <w:ind w:left="0" w:firstLine="561"/>
        <w:jc w:val="both"/>
        <w:rPr>
          <w:rFonts w:hint="eastAsia"/>
          <w:lang w:eastAsia="zh-CN"/>
        </w:rPr>
      </w:pPr>
      <w:r>
        <w:rPr>
          <w:lang w:eastAsia="zh-CN"/>
        </w:rPr>
        <w:t>（2）含水层破坏的预防、修复及监测：开采过程中严格依法开采，禁止超深超规模开采，避免采矿破坏含水层结构。矿区地下含水层远低于最低开采标高，采矿活动对含水层基本不会造成影响。</w:t>
      </w:r>
    </w:p>
    <w:p w14:paraId="5727469C">
      <w:pPr>
        <w:pStyle w:val="4"/>
        <w:adjustRightInd w:val="0"/>
        <w:snapToGrid w:val="0"/>
        <w:spacing w:line="560" w:lineRule="exact"/>
        <w:ind w:left="0" w:firstLine="561"/>
        <w:jc w:val="both"/>
        <w:rPr>
          <w:rFonts w:hint="eastAsia"/>
          <w:lang w:eastAsia="zh-CN"/>
        </w:rPr>
      </w:pPr>
      <w:r>
        <w:rPr>
          <w:lang w:eastAsia="zh-CN"/>
        </w:rPr>
        <w:t>（3）地形地貌景观破坏的预防、修复及监测：优化开采方案，尽量避免或减少破坏原始地形地貌景观；</w:t>
      </w:r>
      <w:r>
        <w:rPr>
          <w:rFonts w:hint="eastAsia"/>
          <w:lang w:eastAsia="zh-CN"/>
        </w:rPr>
        <w:t>对老采坑坑底进行平整，推高填低。</w:t>
      </w:r>
      <w:r>
        <w:rPr>
          <w:lang w:eastAsia="zh-CN"/>
        </w:rPr>
        <w:t>闭坑后，拆除生活区建筑设施、其他水电辅助设施，平整矿山道路，通过平整场地等复垦措施恢复原生地形地貌。通过</w:t>
      </w:r>
      <w:r>
        <w:rPr>
          <w:rFonts w:hint="eastAsia"/>
          <w:lang w:eastAsia="zh-CN"/>
        </w:rPr>
        <w:t>人工巡视</w:t>
      </w:r>
      <w:r>
        <w:rPr>
          <w:lang w:eastAsia="zh-CN"/>
        </w:rPr>
        <w:t>监测。</w:t>
      </w:r>
    </w:p>
    <w:p w14:paraId="18CCAC09">
      <w:pPr>
        <w:pStyle w:val="4"/>
        <w:adjustRightInd w:val="0"/>
        <w:snapToGrid w:val="0"/>
        <w:spacing w:line="560" w:lineRule="exact"/>
        <w:ind w:left="0" w:firstLine="561"/>
        <w:jc w:val="both"/>
        <w:rPr>
          <w:rFonts w:hint="eastAsia"/>
          <w:lang w:eastAsia="zh-CN"/>
        </w:rPr>
      </w:pPr>
      <w:r>
        <w:rPr>
          <w:lang w:eastAsia="zh-CN"/>
        </w:rPr>
        <w:t>（4）水土环境污染的预防、修复及监测：洒水降尘，减少在风力、装卸扰动作用下产生的二次扬尘污染，保护矿区周边生态环境，和矿山工作人员的身体健康；生活垃圾堆放于垃圾箱，定期清理运往垃圾场进行综合处理；生活污水经过处理达到《农村生活污水处理排放标准》（DB654275-2019）二级标准后，全部用于场地除尘、绿化，不外排，减轻对土地资源的污染。矿山生产工艺简单，各生产环节不会对水土环境造成污染。生活污水监测在生活区布置1个监测点；固体废弃物监测采取人工巡视方式，监测</w:t>
      </w:r>
      <w:r>
        <w:rPr>
          <w:rFonts w:hint="eastAsia"/>
          <w:lang w:eastAsia="zh-CN"/>
        </w:rPr>
        <w:t>表土</w:t>
      </w:r>
      <w:r>
        <w:rPr>
          <w:lang w:eastAsia="zh-CN"/>
        </w:rPr>
        <w:t>堆放情况。（以上内容在实际生产建设中按照生态环境主管部门批复的环境影响评价和有关方案要求执行）</w:t>
      </w:r>
      <w:r>
        <w:rPr>
          <w:rFonts w:hint="eastAsia"/>
          <w:lang w:eastAsia="zh-CN"/>
        </w:rPr>
        <w:t>。</w:t>
      </w:r>
    </w:p>
    <w:p w14:paraId="58CE97B0">
      <w:pPr>
        <w:pStyle w:val="4"/>
        <w:adjustRightInd w:val="0"/>
        <w:snapToGrid w:val="0"/>
        <w:spacing w:line="560" w:lineRule="exact"/>
        <w:ind w:left="0" w:firstLine="560" w:firstLineChars="200"/>
        <w:jc w:val="both"/>
        <w:rPr>
          <w:rFonts w:hint="eastAsia"/>
          <w:lang w:eastAsia="zh-CN"/>
        </w:rPr>
      </w:pPr>
      <w:r>
        <w:rPr>
          <w:lang w:eastAsia="zh-CN"/>
        </w:rPr>
        <w:t>（5）大气环境的预防、修复及监测：矿山开采对大气污染程度较轻，考虑矿山采矿结束后自然恢复，因此未开展行大气污染修复工程。矿山定期对露天采矿场和道路采取洒水降尘措施，以减轻扬尘对大气的污染。严格落实环评报告提出的各项大气污染防护措施，加大环保力度，减轻大气污染，维持空气现状水平。（以上内容在实际生产建设中按照生态环境主管部门批复的环境影响评价和有关方案要求执行）</w:t>
      </w:r>
      <w:r>
        <w:rPr>
          <w:rFonts w:hint="eastAsia"/>
          <w:lang w:eastAsia="zh-CN"/>
        </w:rPr>
        <w:t>。</w:t>
      </w:r>
    </w:p>
    <w:p w14:paraId="089E2112">
      <w:pPr>
        <w:pStyle w:val="4"/>
        <w:adjustRightInd w:val="0"/>
        <w:snapToGrid w:val="0"/>
        <w:spacing w:line="560" w:lineRule="exact"/>
        <w:ind w:left="0" w:firstLine="562" w:firstLineChars="200"/>
        <w:jc w:val="both"/>
        <w:rPr>
          <w:rFonts w:hint="eastAsia"/>
          <w:b/>
          <w:bCs/>
          <w:lang w:eastAsia="zh-CN"/>
        </w:rPr>
      </w:pPr>
      <w:r>
        <w:rPr>
          <w:b/>
          <w:bCs/>
          <w:lang w:eastAsia="zh-CN"/>
        </w:rPr>
        <w:t>八、矿区土地复垦</w:t>
      </w:r>
    </w:p>
    <w:p w14:paraId="356752C2">
      <w:pPr>
        <w:pStyle w:val="4"/>
        <w:adjustRightInd w:val="0"/>
        <w:snapToGrid w:val="0"/>
        <w:spacing w:line="560" w:lineRule="exact"/>
        <w:ind w:left="0" w:firstLine="560" w:firstLineChars="200"/>
        <w:jc w:val="both"/>
        <w:rPr>
          <w:rFonts w:hint="eastAsia"/>
          <w:lang w:eastAsia="zh-CN"/>
        </w:rPr>
      </w:pPr>
      <w:r>
        <w:rPr>
          <w:lang w:eastAsia="zh-CN"/>
        </w:rPr>
        <w:t>1、矿区土地利用现状</w:t>
      </w:r>
    </w:p>
    <w:p w14:paraId="3829541D">
      <w:pPr>
        <w:pStyle w:val="4"/>
        <w:adjustRightInd w:val="0"/>
        <w:snapToGrid w:val="0"/>
        <w:spacing w:line="560" w:lineRule="exact"/>
        <w:ind w:left="0" w:firstLine="560" w:firstLineChars="200"/>
        <w:jc w:val="both"/>
        <w:rPr>
          <w:rFonts w:hint="eastAsia"/>
          <w:lang w:eastAsia="zh-CN"/>
        </w:rPr>
      </w:pPr>
      <w:r>
        <w:rPr>
          <w:lang w:eastAsia="zh-CN"/>
        </w:rPr>
        <w:t>依据</w:t>
      </w:r>
      <w:r>
        <w:rPr>
          <w:rFonts w:hint="eastAsia"/>
          <w:lang w:eastAsia="zh-CN"/>
        </w:rPr>
        <w:t>察布查尔锡伯自治县</w:t>
      </w:r>
      <w:r>
        <w:rPr>
          <w:lang w:eastAsia="zh-CN"/>
        </w:rPr>
        <w:t>自然资源局出具的土地权属和规划证明函，结合《土地利用现状分类》（GB/T21010－2017），矿区布局所占用土地类型为</w:t>
      </w:r>
      <w:r>
        <w:rPr>
          <w:rFonts w:hint="eastAsia"/>
          <w:lang w:eastAsia="zh-CN"/>
        </w:rPr>
        <w:t>其他草地</w:t>
      </w:r>
      <w:r>
        <w:rPr>
          <w:lang w:eastAsia="zh-CN"/>
        </w:rPr>
        <w:t>，土地权属为国有。</w:t>
      </w:r>
    </w:p>
    <w:p w14:paraId="27294EAE">
      <w:pPr>
        <w:pStyle w:val="4"/>
        <w:adjustRightInd w:val="0"/>
        <w:snapToGrid w:val="0"/>
        <w:spacing w:line="560" w:lineRule="exact"/>
        <w:ind w:left="0" w:firstLine="560" w:firstLineChars="200"/>
        <w:jc w:val="both"/>
        <w:rPr>
          <w:rFonts w:hint="eastAsia"/>
          <w:lang w:eastAsia="zh-CN"/>
        </w:rPr>
      </w:pPr>
      <w:r>
        <w:rPr>
          <w:lang w:eastAsia="zh-CN"/>
        </w:rPr>
        <w:t>2、土地复垦区与复垦责任范围</w:t>
      </w:r>
    </w:p>
    <w:p w14:paraId="2FDC1232">
      <w:pPr>
        <w:pStyle w:val="4"/>
        <w:adjustRightInd w:val="0"/>
        <w:snapToGrid w:val="0"/>
        <w:spacing w:line="560" w:lineRule="exact"/>
        <w:ind w:left="0" w:firstLine="561"/>
        <w:jc w:val="both"/>
        <w:rPr>
          <w:rFonts w:hint="eastAsia"/>
          <w:lang w:eastAsia="zh-CN"/>
        </w:rPr>
      </w:pPr>
      <w:r>
        <w:rPr>
          <w:lang w:eastAsia="zh-CN"/>
        </w:rPr>
        <w:t>根据土地损毁分析与预测结果，依照土地复垦方案编制规程对复垦区的定义，本方案复垦区为矿山损毁土地面积之和</w:t>
      </w:r>
      <w:r>
        <w:rPr>
          <w:rFonts w:hint="eastAsia"/>
          <w:lang w:eastAsia="zh-CN"/>
        </w:rPr>
        <w:t>34.6175公顷。本方案复垦责任范围为评估区内露天采场损毁土地范围，复垦责任范围面积34.6175公顷，露天采场闭坑后进行复垦，</w:t>
      </w:r>
      <w:r>
        <w:rPr>
          <w:lang w:eastAsia="zh-CN"/>
        </w:rPr>
        <w:t>基本恢复原有土地类型功能。矿山原有土地为</w:t>
      </w:r>
      <w:r>
        <w:rPr>
          <w:rFonts w:hint="eastAsia"/>
          <w:lang w:eastAsia="zh-CN"/>
        </w:rPr>
        <w:t>其他草地</w:t>
      </w:r>
      <w:r>
        <w:rPr>
          <w:lang w:eastAsia="zh-CN"/>
        </w:rPr>
        <w:t>，复垦后均为</w:t>
      </w:r>
      <w:r>
        <w:rPr>
          <w:rFonts w:hint="eastAsia"/>
          <w:lang w:eastAsia="zh-CN"/>
        </w:rPr>
        <w:t>其他草地，复垦率为</w:t>
      </w:r>
      <w:bookmarkStart w:id="2" w:name="_Hlk165316325"/>
      <w:r>
        <w:rPr>
          <w:rFonts w:hint="eastAsia"/>
          <w:lang w:eastAsia="zh-CN"/>
        </w:rPr>
        <w:t>100%</w:t>
      </w:r>
      <w:bookmarkEnd w:id="2"/>
      <w:r>
        <w:rPr>
          <w:rFonts w:hint="eastAsia"/>
          <w:lang w:eastAsia="zh-CN"/>
        </w:rPr>
        <w:t>。</w:t>
      </w:r>
    </w:p>
    <w:p w14:paraId="28B2D44B">
      <w:pPr>
        <w:pStyle w:val="4"/>
        <w:adjustRightInd w:val="0"/>
        <w:snapToGrid w:val="0"/>
        <w:spacing w:line="560" w:lineRule="exact"/>
        <w:ind w:left="0" w:firstLine="561"/>
        <w:jc w:val="both"/>
        <w:rPr>
          <w:rFonts w:hint="eastAsia"/>
          <w:lang w:eastAsia="zh-CN"/>
        </w:rPr>
      </w:pPr>
      <w:r>
        <w:rPr>
          <w:lang w:eastAsia="zh-CN"/>
        </w:rPr>
        <w:t>3、矿区土地适宜性评价</w:t>
      </w:r>
    </w:p>
    <w:p w14:paraId="6F8709B3">
      <w:pPr>
        <w:pStyle w:val="4"/>
        <w:adjustRightInd w:val="0"/>
        <w:snapToGrid w:val="0"/>
        <w:spacing w:line="560" w:lineRule="exact"/>
        <w:ind w:left="0" w:firstLine="561"/>
        <w:jc w:val="both"/>
        <w:rPr>
          <w:rFonts w:hint="eastAsia"/>
          <w:lang w:eastAsia="zh-CN"/>
        </w:rPr>
      </w:pPr>
      <w:r>
        <w:rPr>
          <w:lang w:eastAsia="zh-CN"/>
        </w:rPr>
        <w:t>本方案复垦适宜性评价范围为复垦责任区，合计面积</w:t>
      </w:r>
      <w:r>
        <w:rPr>
          <w:rFonts w:hint="eastAsia"/>
          <w:lang w:eastAsia="zh-CN"/>
        </w:rPr>
        <w:t>34.6175</w:t>
      </w:r>
      <w:r>
        <w:rPr>
          <w:lang w:eastAsia="zh-CN"/>
        </w:rPr>
        <w:t>公顷，包括露天采矿场，确定损毁土地的复垦方向以恢复原功能为主，即复垦为</w:t>
      </w:r>
      <w:r>
        <w:rPr>
          <w:rFonts w:hint="eastAsia"/>
          <w:lang w:eastAsia="zh-CN"/>
        </w:rPr>
        <w:t>其他草地</w:t>
      </w:r>
      <w:r>
        <w:rPr>
          <w:lang w:eastAsia="zh-CN"/>
        </w:rPr>
        <w:t>。</w:t>
      </w:r>
    </w:p>
    <w:p w14:paraId="2A8C0AAB">
      <w:pPr>
        <w:pStyle w:val="4"/>
        <w:adjustRightInd w:val="0"/>
        <w:snapToGrid w:val="0"/>
        <w:spacing w:line="560" w:lineRule="exact"/>
        <w:ind w:left="0" w:firstLine="561"/>
        <w:jc w:val="both"/>
        <w:rPr>
          <w:rFonts w:hint="eastAsia"/>
          <w:lang w:eastAsia="zh-CN"/>
        </w:rPr>
      </w:pPr>
      <w:r>
        <w:rPr>
          <w:lang w:eastAsia="zh-CN"/>
        </w:rPr>
        <w:t>4、矿区水土资源平衡分析</w:t>
      </w:r>
    </w:p>
    <w:p w14:paraId="598218A9">
      <w:pPr>
        <w:pStyle w:val="4"/>
        <w:adjustRightInd w:val="0"/>
        <w:snapToGrid w:val="0"/>
        <w:spacing w:line="560" w:lineRule="exact"/>
        <w:ind w:left="0" w:firstLine="561"/>
        <w:jc w:val="both"/>
        <w:rPr>
          <w:rFonts w:hint="eastAsia"/>
          <w:lang w:eastAsia="zh-CN"/>
        </w:rPr>
      </w:pPr>
      <w:r>
        <w:rPr>
          <w:lang w:eastAsia="zh-CN"/>
        </w:rPr>
        <w:t>矿区土地类型为</w:t>
      </w:r>
      <w:r>
        <w:rPr>
          <w:rFonts w:hint="eastAsia"/>
          <w:lang w:eastAsia="zh-CN"/>
        </w:rPr>
        <w:t>其他草地</w:t>
      </w:r>
      <w:r>
        <w:rPr>
          <w:lang w:eastAsia="zh-CN"/>
        </w:rPr>
        <w:t>，</w:t>
      </w:r>
      <w:r>
        <w:rPr>
          <w:rFonts w:hint="eastAsia"/>
          <w:lang w:eastAsia="zh-CN"/>
        </w:rPr>
        <w:t>有效表土层厚度约0.8米，开采过程中对表土进行剥离，剥离表土方量</w:t>
      </w:r>
      <w:r>
        <w:rPr>
          <w:lang w:eastAsia="zh-CN"/>
        </w:rPr>
        <w:t>5.2392</w:t>
      </w:r>
      <w:r>
        <w:rPr>
          <w:rFonts w:hint="eastAsia"/>
          <w:lang w:eastAsia="zh-CN"/>
        </w:rPr>
        <w:t>万立方米，表土供给量为</w:t>
      </w:r>
      <w:r>
        <w:rPr>
          <w:lang w:eastAsia="zh-CN"/>
        </w:rPr>
        <w:t>5.2392</w:t>
      </w:r>
      <w:r>
        <w:rPr>
          <w:rFonts w:hint="eastAsia"/>
          <w:lang w:eastAsia="zh-CN"/>
        </w:rPr>
        <w:t>万立方米，复垦方向为其他草地，覆土厚0</w:t>
      </w:r>
      <w:r>
        <w:rPr>
          <w:lang w:eastAsia="zh-CN"/>
        </w:rPr>
        <w:t>.</w:t>
      </w:r>
      <w:r>
        <w:rPr>
          <w:rFonts w:hint="eastAsia"/>
          <w:lang w:eastAsia="zh-CN"/>
        </w:rPr>
        <w:t>3米，所需表土</w:t>
      </w:r>
      <w:r>
        <w:rPr>
          <w:lang w:eastAsia="zh-CN"/>
        </w:rPr>
        <w:t>10.35</w:t>
      </w:r>
      <w:r>
        <w:rPr>
          <w:rFonts w:hint="eastAsia"/>
          <w:lang w:eastAsia="zh-CN"/>
        </w:rPr>
        <w:t>12万立方米，表土供给量小于需求量，因此本方案设计需要调用客土，客土量</w:t>
      </w:r>
      <w:r>
        <w:rPr>
          <w:lang w:eastAsia="zh-CN"/>
        </w:rPr>
        <w:t>5.112</w:t>
      </w:r>
      <w:r>
        <w:rPr>
          <w:rFonts w:hint="eastAsia"/>
          <w:lang w:eastAsia="zh-CN"/>
        </w:rPr>
        <w:t>0万立方米。客土可利用矿区西侧省道S</w:t>
      </w:r>
      <w:r>
        <w:rPr>
          <w:lang w:eastAsia="zh-CN"/>
        </w:rPr>
        <w:t>237</w:t>
      </w:r>
      <w:r>
        <w:rPr>
          <w:rFonts w:hint="eastAsia"/>
          <w:lang w:eastAsia="zh-CN"/>
        </w:rPr>
        <w:t>线（伊昭公路）工程施工产生的废弃土方，运距约</w:t>
      </w:r>
      <w:r>
        <w:rPr>
          <w:lang w:eastAsia="zh-CN"/>
        </w:rPr>
        <w:t>6</w:t>
      </w:r>
      <w:r>
        <w:rPr>
          <w:rFonts w:hint="eastAsia"/>
          <w:lang w:eastAsia="zh-CN"/>
        </w:rPr>
        <w:t>千米。矿山生产期间可不间断将该工程弃土方拉运表土堆放场堆放，不仅可以解决本矿复垦用土需求，同时也减少了该工程施工废弃土方压占破坏土地。</w:t>
      </w:r>
    </w:p>
    <w:p w14:paraId="6EF903BA">
      <w:pPr>
        <w:pStyle w:val="4"/>
        <w:adjustRightInd w:val="0"/>
        <w:snapToGrid w:val="0"/>
        <w:spacing w:line="560" w:lineRule="exact"/>
        <w:ind w:left="0" w:firstLine="561"/>
        <w:jc w:val="both"/>
        <w:rPr>
          <w:rFonts w:hint="eastAsia"/>
          <w:lang w:eastAsia="zh-CN"/>
        </w:rPr>
      </w:pPr>
      <w:r>
        <w:rPr>
          <w:lang w:eastAsia="zh-CN"/>
        </w:rPr>
        <w:t>5、土地复垦工程措施</w:t>
      </w:r>
    </w:p>
    <w:p w14:paraId="6210EBD5">
      <w:pPr>
        <w:pStyle w:val="4"/>
        <w:adjustRightInd w:val="0"/>
        <w:snapToGrid w:val="0"/>
        <w:spacing w:line="560" w:lineRule="exact"/>
        <w:ind w:left="0" w:firstLine="561"/>
        <w:jc w:val="both"/>
        <w:rPr>
          <w:rFonts w:hint="eastAsia"/>
          <w:lang w:eastAsia="zh-CN"/>
        </w:rPr>
      </w:pPr>
      <w:r>
        <w:rPr>
          <w:lang w:eastAsia="zh-CN"/>
        </w:rPr>
        <w:t>本方案划分</w:t>
      </w:r>
      <w:r>
        <w:rPr>
          <w:rFonts w:hint="eastAsia"/>
          <w:lang w:eastAsia="zh-CN"/>
        </w:rPr>
        <w:t>1</w:t>
      </w:r>
      <w:r>
        <w:rPr>
          <w:lang w:eastAsia="zh-CN"/>
        </w:rPr>
        <w:t>个土地复垦单元，</w:t>
      </w:r>
      <w:r>
        <w:rPr>
          <w:rFonts w:hint="eastAsia"/>
          <w:lang w:eastAsia="zh-CN"/>
        </w:rPr>
        <w:t>即</w:t>
      </w:r>
      <w:r>
        <w:rPr>
          <w:lang w:eastAsia="zh-CN"/>
        </w:rPr>
        <w:t>为露天采矿场复垦单元</w:t>
      </w:r>
      <w:r>
        <w:rPr>
          <w:rFonts w:hint="eastAsia"/>
          <w:lang w:eastAsia="zh-CN"/>
        </w:rPr>
        <w:t>（办公生活区、工业广场、表土堆放场位于老采场范围之内）</w:t>
      </w:r>
      <w:r>
        <w:rPr>
          <w:lang w:eastAsia="zh-CN"/>
        </w:rPr>
        <w:t>。</w:t>
      </w:r>
    </w:p>
    <w:p w14:paraId="3E342E8F">
      <w:pPr>
        <w:pStyle w:val="4"/>
        <w:adjustRightInd w:val="0"/>
        <w:snapToGrid w:val="0"/>
        <w:spacing w:line="560" w:lineRule="exact"/>
        <w:ind w:left="0" w:firstLine="561"/>
        <w:jc w:val="both"/>
        <w:rPr>
          <w:rFonts w:hint="eastAsia"/>
          <w:lang w:eastAsia="zh-CN"/>
        </w:rPr>
      </w:pPr>
      <w:r>
        <w:rPr>
          <w:lang w:eastAsia="zh-CN"/>
        </w:rPr>
        <w:t>土地复垦措施主要</w:t>
      </w:r>
      <w:r>
        <w:rPr>
          <w:rFonts w:hint="eastAsia"/>
          <w:lang w:eastAsia="zh-CN"/>
        </w:rPr>
        <w:t>包括坡面工程、回填工程、覆土工程、平整工程、植被恢复工程等，</w:t>
      </w:r>
      <w:r>
        <w:rPr>
          <w:lang w:eastAsia="zh-CN"/>
        </w:rPr>
        <w:t>土地复垦工程矿山闭坑后完成。</w:t>
      </w:r>
    </w:p>
    <w:p w14:paraId="72EAF82A">
      <w:pPr>
        <w:pStyle w:val="4"/>
        <w:adjustRightInd w:val="0"/>
        <w:snapToGrid w:val="0"/>
        <w:spacing w:line="560" w:lineRule="exact"/>
        <w:ind w:left="0" w:firstLine="561"/>
        <w:jc w:val="both"/>
        <w:rPr>
          <w:rFonts w:hint="eastAsia"/>
          <w:lang w:eastAsia="zh-CN"/>
        </w:rPr>
      </w:pPr>
      <w:r>
        <w:rPr>
          <w:lang w:eastAsia="zh-CN"/>
        </w:rPr>
        <w:t>6、土地复垦监测</w:t>
      </w:r>
    </w:p>
    <w:p w14:paraId="0951179C">
      <w:pPr>
        <w:pStyle w:val="4"/>
        <w:adjustRightInd w:val="0"/>
        <w:snapToGrid w:val="0"/>
        <w:spacing w:line="560" w:lineRule="exact"/>
        <w:ind w:left="0" w:firstLine="561"/>
        <w:jc w:val="both"/>
        <w:rPr>
          <w:rFonts w:hint="eastAsia"/>
          <w:lang w:eastAsia="zh-CN"/>
        </w:rPr>
      </w:pPr>
      <w:r>
        <w:rPr>
          <w:lang w:eastAsia="zh-CN"/>
        </w:rPr>
        <w:t>本方案土地复垦方向均为</w:t>
      </w:r>
      <w:r>
        <w:rPr>
          <w:rFonts w:hint="eastAsia"/>
          <w:lang w:eastAsia="zh-CN"/>
        </w:rPr>
        <w:t>其他草地</w:t>
      </w:r>
      <w:r>
        <w:rPr>
          <w:lang w:eastAsia="zh-CN"/>
        </w:rPr>
        <w:t>，方案复垦监测主要内容为土地损毁、复垦效果两项监测。监测方法结合地质灾害监测及地形地貌景观监测，采取</w:t>
      </w:r>
      <w:r>
        <w:rPr>
          <w:rFonts w:hint="eastAsia"/>
          <w:lang w:eastAsia="zh-CN"/>
        </w:rPr>
        <w:t>人工巡视的方式</w:t>
      </w:r>
      <w:r>
        <w:rPr>
          <w:lang w:eastAsia="zh-CN"/>
        </w:rPr>
        <w:t>进行监测。</w:t>
      </w:r>
    </w:p>
    <w:p w14:paraId="09B117D5">
      <w:pPr>
        <w:pStyle w:val="4"/>
        <w:adjustRightInd w:val="0"/>
        <w:snapToGrid w:val="0"/>
        <w:spacing w:line="560" w:lineRule="exact"/>
        <w:ind w:left="0" w:firstLine="561"/>
        <w:jc w:val="both"/>
        <w:rPr>
          <w:rFonts w:hint="eastAsia"/>
          <w:lang w:eastAsia="zh-CN"/>
        </w:rPr>
      </w:pPr>
      <w:r>
        <w:rPr>
          <w:lang w:eastAsia="zh-CN"/>
        </w:rPr>
        <w:t>7、土地复垦实施年限</w:t>
      </w:r>
    </w:p>
    <w:p w14:paraId="1C787CC2">
      <w:pPr>
        <w:pStyle w:val="4"/>
        <w:adjustRightInd w:val="0"/>
        <w:snapToGrid w:val="0"/>
        <w:spacing w:line="560" w:lineRule="exact"/>
        <w:ind w:left="0" w:firstLine="560" w:firstLineChars="200"/>
        <w:jc w:val="both"/>
        <w:rPr>
          <w:rFonts w:hint="eastAsia"/>
          <w:lang w:eastAsia="zh-CN"/>
        </w:rPr>
      </w:pPr>
      <w:r>
        <w:rPr>
          <w:lang w:eastAsia="zh-CN"/>
        </w:rPr>
        <w:t>本矿山开采年限</w:t>
      </w:r>
      <w:r>
        <w:rPr>
          <w:rFonts w:hint="eastAsia"/>
          <w:lang w:eastAsia="zh-CN"/>
        </w:rPr>
        <w:t>3</w:t>
      </w:r>
      <w:r>
        <w:rPr>
          <w:lang w:eastAsia="zh-CN"/>
        </w:rPr>
        <w:t>.</w:t>
      </w:r>
      <w:r>
        <w:rPr>
          <w:rFonts w:hint="eastAsia"/>
          <w:lang w:eastAsia="zh-CN"/>
        </w:rPr>
        <w:t>06</w:t>
      </w:r>
      <w:r>
        <w:rPr>
          <w:lang w:eastAsia="zh-CN"/>
        </w:rPr>
        <w:t>年（</w:t>
      </w:r>
      <w:r>
        <w:rPr>
          <w:rFonts w:hint="eastAsia"/>
          <w:lang w:eastAsia="zh-CN"/>
        </w:rPr>
        <w:t>2</w:t>
      </w:r>
      <w:r>
        <w:rPr>
          <w:lang w:eastAsia="zh-CN"/>
        </w:rPr>
        <w:t>02</w:t>
      </w:r>
      <w:r>
        <w:rPr>
          <w:rFonts w:hint="eastAsia"/>
          <w:lang w:eastAsia="zh-CN"/>
        </w:rPr>
        <w:t>4年5月至2</w:t>
      </w:r>
      <w:r>
        <w:rPr>
          <w:lang w:eastAsia="zh-CN"/>
        </w:rPr>
        <w:t>02</w:t>
      </w:r>
      <w:r>
        <w:rPr>
          <w:rFonts w:hint="eastAsia"/>
          <w:lang w:eastAsia="zh-CN"/>
        </w:rPr>
        <w:t>7年5月</w:t>
      </w:r>
      <w:r>
        <w:rPr>
          <w:lang w:eastAsia="zh-CN"/>
        </w:rPr>
        <w:t>），该矿山不满足“边开采、边复垦”的条件，闭坑后一次性复垦。考虑复垦期1年</w:t>
      </w:r>
      <w:r>
        <w:rPr>
          <w:rFonts w:hint="eastAsia"/>
          <w:lang w:eastAsia="zh-CN"/>
        </w:rPr>
        <w:t>、管护期3年</w:t>
      </w:r>
      <w:r>
        <w:rPr>
          <w:lang w:eastAsia="zh-CN"/>
        </w:rPr>
        <w:t>，最终土地复垦实施年限为</w:t>
      </w:r>
      <w:r>
        <w:rPr>
          <w:rFonts w:hint="eastAsia"/>
          <w:lang w:eastAsia="zh-CN"/>
        </w:rPr>
        <w:t>7</w:t>
      </w:r>
      <w:r>
        <w:rPr>
          <w:lang w:eastAsia="zh-CN"/>
        </w:rPr>
        <w:t>.</w:t>
      </w:r>
      <w:r>
        <w:rPr>
          <w:rFonts w:hint="eastAsia"/>
          <w:lang w:eastAsia="zh-CN"/>
        </w:rPr>
        <w:t>67</w:t>
      </w:r>
      <w:r>
        <w:rPr>
          <w:lang w:eastAsia="zh-CN"/>
        </w:rPr>
        <w:t>年（202</w:t>
      </w:r>
      <w:r>
        <w:rPr>
          <w:rFonts w:hint="eastAsia"/>
          <w:lang w:eastAsia="zh-CN"/>
        </w:rPr>
        <w:t>4</w:t>
      </w:r>
      <w:r>
        <w:rPr>
          <w:lang w:eastAsia="zh-CN"/>
        </w:rPr>
        <w:t>年5月</w:t>
      </w:r>
      <w:r>
        <w:rPr>
          <w:rFonts w:hint="eastAsia"/>
          <w:lang w:eastAsia="zh-CN"/>
        </w:rPr>
        <w:t>～</w:t>
      </w:r>
      <w:r>
        <w:rPr>
          <w:lang w:eastAsia="zh-CN"/>
        </w:rPr>
        <w:t>202</w:t>
      </w:r>
      <w:r>
        <w:rPr>
          <w:rFonts w:hint="eastAsia"/>
          <w:lang w:eastAsia="zh-CN"/>
        </w:rPr>
        <w:t>9</w:t>
      </w:r>
      <w:r>
        <w:rPr>
          <w:lang w:eastAsia="zh-CN"/>
        </w:rPr>
        <w:t>年12月）。</w:t>
      </w:r>
    </w:p>
    <w:p w14:paraId="5556EEA6">
      <w:pPr>
        <w:pStyle w:val="4"/>
        <w:adjustRightInd w:val="0"/>
        <w:snapToGrid w:val="0"/>
        <w:spacing w:line="560" w:lineRule="exact"/>
        <w:ind w:left="0" w:firstLine="560" w:firstLineChars="200"/>
        <w:jc w:val="both"/>
        <w:rPr>
          <w:rFonts w:hint="eastAsia"/>
          <w:lang w:eastAsia="zh-CN"/>
        </w:rPr>
      </w:pPr>
      <w:r>
        <w:rPr>
          <w:lang w:eastAsia="zh-CN"/>
        </w:rPr>
        <w:t>8、土地复垦阶段工作安排</w:t>
      </w:r>
    </w:p>
    <w:p w14:paraId="3AED1C85">
      <w:pPr>
        <w:pStyle w:val="4"/>
        <w:adjustRightInd w:val="0"/>
        <w:snapToGrid w:val="0"/>
        <w:spacing w:line="560" w:lineRule="exact"/>
        <w:ind w:left="0" w:firstLine="560" w:firstLineChars="200"/>
        <w:jc w:val="both"/>
        <w:rPr>
          <w:rFonts w:hint="eastAsia"/>
          <w:color w:val="FF0000"/>
          <w:lang w:eastAsia="zh-CN"/>
        </w:rPr>
      </w:pPr>
      <w:r>
        <w:rPr>
          <w:lang w:eastAsia="zh-CN"/>
        </w:rPr>
        <w:t>根据治理恢复分区情况，将矿山地质环境保护与土地复垦工作可分为：生产期</w:t>
      </w:r>
      <w:r>
        <w:rPr>
          <w:rFonts w:hint="eastAsia"/>
          <w:lang w:eastAsia="zh-CN"/>
        </w:rPr>
        <w:t>3</w:t>
      </w:r>
      <w:r>
        <w:rPr>
          <w:lang w:eastAsia="zh-CN"/>
        </w:rPr>
        <w:t>.</w:t>
      </w:r>
      <w:r>
        <w:rPr>
          <w:rFonts w:hint="eastAsia"/>
          <w:lang w:eastAsia="zh-CN"/>
        </w:rPr>
        <w:t>06</w:t>
      </w:r>
      <w:r>
        <w:rPr>
          <w:lang w:eastAsia="zh-CN"/>
        </w:rPr>
        <w:t>年（202</w:t>
      </w:r>
      <w:r>
        <w:rPr>
          <w:rFonts w:hint="eastAsia"/>
          <w:lang w:eastAsia="zh-CN"/>
        </w:rPr>
        <w:t>4</w:t>
      </w:r>
      <w:r>
        <w:rPr>
          <w:lang w:eastAsia="zh-CN"/>
        </w:rPr>
        <w:t>年5月</w:t>
      </w:r>
      <w:r>
        <w:rPr>
          <w:rFonts w:hint="eastAsia"/>
          <w:lang w:eastAsia="zh-CN"/>
        </w:rPr>
        <w:t>～</w:t>
      </w:r>
      <w:r>
        <w:rPr>
          <w:lang w:eastAsia="zh-CN"/>
        </w:rPr>
        <w:t>202</w:t>
      </w:r>
      <w:r>
        <w:rPr>
          <w:rFonts w:hint="eastAsia"/>
          <w:lang w:eastAsia="zh-CN"/>
        </w:rPr>
        <w:t>7</w:t>
      </w:r>
      <w:r>
        <w:rPr>
          <w:lang w:eastAsia="zh-CN"/>
        </w:rPr>
        <w:t>年</w:t>
      </w:r>
      <w:r>
        <w:rPr>
          <w:rFonts w:hint="eastAsia"/>
          <w:lang w:eastAsia="zh-CN"/>
        </w:rPr>
        <w:t>5</w:t>
      </w:r>
      <w:r>
        <w:rPr>
          <w:lang w:eastAsia="zh-CN"/>
        </w:rPr>
        <w:t>月）；闭坑复垦期1年（202</w:t>
      </w:r>
      <w:r>
        <w:rPr>
          <w:rFonts w:hint="eastAsia"/>
          <w:lang w:eastAsia="zh-CN"/>
        </w:rPr>
        <w:t>7</w:t>
      </w:r>
      <w:r>
        <w:rPr>
          <w:lang w:eastAsia="zh-CN"/>
        </w:rPr>
        <w:t>年</w:t>
      </w:r>
      <w:r>
        <w:rPr>
          <w:rFonts w:hint="eastAsia"/>
          <w:lang w:eastAsia="zh-CN"/>
        </w:rPr>
        <w:t>6</w:t>
      </w:r>
      <w:r>
        <w:rPr>
          <w:lang w:eastAsia="zh-CN"/>
        </w:rPr>
        <w:t>月</w:t>
      </w:r>
      <w:r>
        <w:rPr>
          <w:rFonts w:hint="eastAsia"/>
          <w:lang w:eastAsia="zh-CN"/>
        </w:rPr>
        <w:t>～</w:t>
      </w:r>
      <w:r>
        <w:rPr>
          <w:lang w:eastAsia="zh-CN"/>
        </w:rPr>
        <w:t>202</w:t>
      </w:r>
      <w:r>
        <w:rPr>
          <w:rFonts w:hint="eastAsia"/>
          <w:lang w:eastAsia="zh-CN"/>
        </w:rPr>
        <w:t>8</w:t>
      </w:r>
      <w:r>
        <w:rPr>
          <w:lang w:eastAsia="zh-CN"/>
        </w:rPr>
        <w:t>年</w:t>
      </w:r>
      <w:r>
        <w:rPr>
          <w:rFonts w:hint="eastAsia"/>
          <w:lang w:eastAsia="zh-CN"/>
        </w:rPr>
        <w:t>5</w:t>
      </w:r>
      <w:r>
        <w:rPr>
          <w:lang w:eastAsia="zh-CN"/>
        </w:rPr>
        <w:t>月）；</w:t>
      </w:r>
      <w:r>
        <w:rPr>
          <w:rFonts w:hint="eastAsia"/>
          <w:lang w:eastAsia="zh-CN"/>
        </w:rPr>
        <w:t>管护期3年（2</w:t>
      </w:r>
      <w:r>
        <w:rPr>
          <w:lang w:eastAsia="zh-CN"/>
        </w:rPr>
        <w:t>02</w:t>
      </w:r>
      <w:r>
        <w:rPr>
          <w:rFonts w:hint="eastAsia"/>
          <w:lang w:eastAsia="zh-CN"/>
        </w:rPr>
        <w:t>8年6月～2</w:t>
      </w:r>
      <w:r>
        <w:rPr>
          <w:lang w:eastAsia="zh-CN"/>
        </w:rPr>
        <w:t>0</w:t>
      </w:r>
      <w:r>
        <w:rPr>
          <w:rFonts w:hint="eastAsia"/>
          <w:lang w:eastAsia="zh-CN"/>
        </w:rPr>
        <w:t>31年5月）</w:t>
      </w:r>
      <w:r>
        <w:rPr>
          <w:lang w:eastAsia="zh-CN"/>
        </w:rPr>
        <w:t>。</w:t>
      </w:r>
    </w:p>
    <w:p w14:paraId="402DF307">
      <w:pPr>
        <w:pStyle w:val="4"/>
        <w:adjustRightInd w:val="0"/>
        <w:snapToGrid w:val="0"/>
        <w:spacing w:line="560" w:lineRule="exact"/>
        <w:ind w:left="0" w:firstLine="562" w:firstLineChars="200"/>
        <w:jc w:val="both"/>
        <w:rPr>
          <w:rFonts w:hint="eastAsia"/>
          <w:b/>
          <w:lang w:eastAsia="zh-CN"/>
        </w:rPr>
      </w:pPr>
      <w:r>
        <w:rPr>
          <w:b/>
          <w:bCs/>
          <w:lang w:eastAsia="zh-CN"/>
        </w:rPr>
        <w:t>九、技术经济指标</w:t>
      </w:r>
    </w:p>
    <w:p w14:paraId="722440A9">
      <w:pPr>
        <w:pStyle w:val="4"/>
        <w:adjustRightInd w:val="0"/>
        <w:snapToGrid w:val="0"/>
        <w:spacing w:line="560" w:lineRule="exact"/>
        <w:ind w:left="0" w:firstLine="560" w:firstLineChars="200"/>
        <w:jc w:val="both"/>
        <w:rPr>
          <w:rFonts w:hint="eastAsia"/>
          <w:lang w:eastAsia="zh-CN"/>
        </w:rPr>
      </w:pPr>
      <w:r>
        <w:rPr>
          <w:lang w:eastAsia="zh-CN"/>
        </w:rPr>
        <w:t>项目总投资976.50万元</w:t>
      </w:r>
      <w:r>
        <w:rPr>
          <w:rFonts w:hint="eastAsia"/>
          <w:lang w:eastAsia="zh-CN"/>
        </w:rPr>
        <w:t>。</w:t>
      </w:r>
      <w:r>
        <w:rPr>
          <w:lang w:eastAsia="zh-CN"/>
        </w:rPr>
        <w:t>其中</w:t>
      </w:r>
      <w:r>
        <w:rPr>
          <w:rFonts w:hint="eastAsia"/>
          <w:lang w:eastAsia="zh-CN"/>
        </w:rPr>
        <w:t>：</w:t>
      </w:r>
      <w:r>
        <w:rPr>
          <w:lang w:eastAsia="zh-CN"/>
        </w:rPr>
        <w:t>建设投资865</w:t>
      </w:r>
      <w:r>
        <w:rPr>
          <w:rFonts w:hint="eastAsia"/>
          <w:lang w:eastAsia="zh-CN"/>
        </w:rPr>
        <w:t>.00</w:t>
      </w:r>
      <w:r>
        <w:rPr>
          <w:lang w:eastAsia="zh-CN"/>
        </w:rPr>
        <w:t>万元，项目流动资金111.50万元</w:t>
      </w:r>
      <w:r>
        <w:rPr>
          <w:rFonts w:hint="eastAsia"/>
          <w:lang w:eastAsia="zh-CN"/>
        </w:rPr>
        <w:t>。</w:t>
      </w:r>
      <w:r>
        <w:rPr>
          <w:lang w:eastAsia="zh-CN"/>
        </w:rPr>
        <w:t>项目年总成本费用</w:t>
      </w:r>
      <w:r>
        <w:rPr>
          <w:rFonts w:hint="eastAsia"/>
          <w:lang w:eastAsia="zh-CN"/>
        </w:rPr>
        <w:t>950.03</w:t>
      </w:r>
      <w:r>
        <w:rPr>
          <w:lang w:eastAsia="zh-CN"/>
        </w:rPr>
        <w:t>万元，年销售收入1530.00万元，年销售税金及附加</w:t>
      </w:r>
      <w:r>
        <w:rPr>
          <w:rFonts w:hint="eastAsia"/>
          <w:lang w:eastAsia="zh-CN"/>
        </w:rPr>
        <w:t>167.51</w:t>
      </w:r>
      <w:r>
        <w:rPr>
          <w:lang w:eastAsia="zh-CN"/>
        </w:rPr>
        <w:t>万元，年利润总额</w:t>
      </w:r>
      <w:r>
        <w:rPr>
          <w:rFonts w:hint="eastAsia"/>
          <w:lang w:eastAsia="zh-CN"/>
        </w:rPr>
        <w:t>412.46</w:t>
      </w:r>
      <w:r>
        <w:rPr>
          <w:lang w:eastAsia="zh-CN"/>
        </w:rPr>
        <w:t>万元，年上缴所得税103.12万元，年税后利润</w:t>
      </w:r>
      <w:r>
        <w:rPr>
          <w:rFonts w:hint="eastAsia"/>
          <w:lang w:eastAsia="zh-CN"/>
        </w:rPr>
        <w:t>309.34</w:t>
      </w:r>
      <w:r>
        <w:rPr>
          <w:lang w:eastAsia="zh-CN"/>
        </w:rPr>
        <w:t>万元</w:t>
      </w:r>
      <w:r>
        <w:rPr>
          <w:rFonts w:hint="eastAsia"/>
          <w:lang w:eastAsia="zh-CN"/>
        </w:rPr>
        <w:t>。</w:t>
      </w:r>
    </w:p>
    <w:p w14:paraId="4A7CC1E1">
      <w:pPr>
        <w:pStyle w:val="4"/>
        <w:adjustRightInd w:val="0"/>
        <w:snapToGrid w:val="0"/>
        <w:spacing w:line="560" w:lineRule="exact"/>
        <w:ind w:left="0" w:firstLine="560" w:firstLineChars="200"/>
        <w:jc w:val="both"/>
        <w:rPr>
          <w:rFonts w:hint="eastAsia"/>
          <w:lang w:eastAsia="zh-CN"/>
        </w:rPr>
      </w:pPr>
      <w:r>
        <w:rPr>
          <w:rFonts w:hint="eastAsia"/>
          <w:lang w:eastAsia="zh-CN"/>
        </w:rPr>
        <w:t>矿山地质环境保护与土地复垦静态总投资</w:t>
      </w:r>
      <w:bookmarkStart w:id="3" w:name="_Hlk105890359"/>
      <w:r>
        <w:rPr>
          <w:rFonts w:hint="eastAsia"/>
          <w:lang w:eastAsia="zh-CN"/>
        </w:rPr>
        <w:t>223.30</w:t>
      </w:r>
      <w:bookmarkEnd w:id="3"/>
      <w:r>
        <w:rPr>
          <w:rFonts w:hint="eastAsia"/>
          <w:lang w:eastAsia="zh-CN"/>
        </w:rPr>
        <w:t>万元，其中矿山地质环境保护工程投资42.01万元，矿山土地复垦工程投资181.29万元。</w:t>
      </w:r>
      <w:r>
        <w:rPr>
          <w:lang w:eastAsia="zh-CN"/>
        </w:rPr>
        <w:t>方案服务年限内矿山地质环境保护与治理工程预备差价费</w:t>
      </w:r>
      <w:r>
        <w:rPr>
          <w:rFonts w:hint="eastAsia"/>
          <w:lang w:eastAsia="zh-CN"/>
        </w:rPr>
        <w:t>1.95</w:t>
      </w:r>
      <w:r>
        <w:rPr>
          <w:lang w:eastAsia="zh-CN"/>
        </w:rPr>
        <w:t>万元，矿山土地复垦工程预备差价费</w:t>
      </w:r>
      <w:r>
        <w:rPr>
          <w:rFonts w:hint="eastAsia"/>
          <w:lang w:eastAsia="zh-CN"/>
        </w:rPr>
        <w:t>14.81</w:t>
      </w:r>
      <w:r>
        <w:rPr>
          <w:lang w:eastAsia="zh-CN"/>
        </w:rPr>
        <w:t>万元，矿山地质环境治理工程和土地复垦工程动态总投资为</w:t>
      </w:r>
      <w:r>
        <w:rPr>
          <w:rFonts w:hint="eastAsia"/>
          <w:lang w:eastAsia="zh-CN"/>
        </w:rPr>
        <w:t>240.06</w:t>
      </w:r>
      <w:r>
        <w:rPr>
          <w:lang w:eastAsia="zh-CN"/>
        </w:rPr>
        <w:t>万元，矿山地质环境治理工程动态投资总费用</w:t>
      </w:r>
      <w:r>
        <w:rPr>
          <w:rFonts w:hint="eastAsia"/>
          <w:lang w:eastAsia="zh-CN"/>
        </w:rPr>
        <w:t>43.96</w:t>
      </w:r>
      <w:r>
        <w:rPr>
          <w:lang w:eastAsia="zh-CN"/>
        </w:rPr>
        <w:t>万元，土地复垦工程动态投资总费用</w:t>
      </w:r>
      <w:r>
        <w:rPr>
          <w:rFonts w:hint="eastAsia"/>
          <w:lang w:eastAsia="zh-CN"/>
        </w:rPr>
        <w:t>196.10</w:t>
      </w:r>
      <w:r>
        <w:rPr>
          <w:lang w:eastAsia="zh-CN"/>
        </w:rPr>
        <w:t>万元。复垦责任区面积</w:t>
      </w:r>
      <w:r>
        <w:rPr>
          <w:rFonts w:hint="eastAsia"/>
          <w:lang w:eastAsia="zh-CN"/>
        </w:rPr>
        <w:t>34.6175</w:t>
      </w:r>
      <w:r>
        <w:rPr>
          <w:lang w:eastAsia="zh-CN"/>
        </w:rPr>
        <w:t>公顷（</w:t>
      </w:r>
      <w:r>
        <w:rPr>
          <w:rFonts w:hint="eastAsia"/>
          <w:lang w:eastAsia="zh-CN"/>
        </w:rPr>
        <w:t>519.26</w:t>
      </w:r>
      <w:r>
        <w:rPr>
          <w:lang w:eastAsia="zh-CN"/>
        </w:rPr>
        <w:t>亩），静态亩均投资0.</w:t>
      </w:r>
      <w:r>
        <w:rPr>
          <w:rFonts w:hint="eastAsia"/>
          <w:lang w:eastAsia="zh-CN"/>
        </w:rPr>
        <w:t>43</w:t>
      </w:r>
      <w:r>
        <w:rPr>
          <w:lang w:eastAsia="zh-CN"/>
        </w:rPr>
        <w:t>万元</w:t>
      </w:r>
      <w:r>
        <w:rPr>
          <w:rFonts w:hint="eastAsia"/>
          <w:lang w:eastAsia="zh-CN"/>
        </w:rPr>
        <w:t>。</w:t>
      </w:r>
    </w:p>
    <w:p w14:paraId="2F269EFE">
      <w:pPr>
        <w:pStyle w:val="4"/>
        <w:adjustRightInd w:val="0"/>
        <w:snapToGrid w:val="0"/>
        <w:spacing w:line="560" w:lineRule="exact"/>
        <w:ind w:left="0" w:firstLine="562" w:firstLineChars="200"/>
        <w:jc w:val="both"/>
        <w:rPr>
          <w:rFonts w:hint="eastAsia"/>
          <w:b/>
          <w:bCs/>
          <w:lang w:eastAsia="zh-CN"/>
        </w:rPr>
      </w:pPr>
      <w:r>
        <w:rPr>
          <w:b/>
          <w:bCs/>
          <w:lang w:eastAsia="zh-CN"/>
        </w:rPr>
        <w:t>十、存在的问题及建议</w:t>
      </w:r>
    </w:p>
    <w:p w14:paraId="47194E9F">
      <w:pPr>
        <w:pStyle w:val="4"/>
        <w:adjustRightInd w:val="0"/>
        <w:snapToGrid w:val="0"/>
        <w:spacing w:line="560" w:lineRule="exact"/>
        <w:ind w:left="0" w:firstLine="560" w:firstLineChars="200"/>
        <w:jc w:val="both"/>
        <w:rPr>
          <w:rFonts w:hint="eastAsia"/>
          <w:lang w:eastAsia="zh-CN"/>
        </w:rPr>
      </w:pPr>
      <w:r>
        <w:rPr>
          <w:rFonts w:hint="eastAsia"/>
          <w:lang w:eastAsia="zh-CN"/>
        </w:rPr>
        <w:t>1</w:t>
      </w:r>
      <w:r>
        <w:rPr>
          <w:lang w:eastAsia="zh-CN"/>
        </w:rPr>
        <w:t>、</w:t>
      </w:r>
      <w:r>
        <w:rPr>
          <w:rFonts w:hint="eastAsia"/>
          <w:lang w:eastAsia="zh-CN"/>
        </w:rPr>
        <w:t>原采矿许可证生产规模15.00万立方米/年，根据本次《方案》设计，建议调整生产规模为30.00万立方米/年。</w:t>
      </w:r>
    </w:p>
    <w:p w14:paraId="204D1A64">
      <w:pPr>
        <w:pStyle w:val="4"/>
        <w:adjustRightInd w:val="0"/>
        <w:snapToGrid w:val="0"/>
        <w:spacing w:line="560" w:lineRule="exact"/>
        <w:ind w:left="0" w:firstLine="560" w:firstLineChars="200"/>
        <w:jc w:val="both"/>
        <w:rPr>
          <w:rFonts w:hint="eastAsia"/>
          <w:lang w:eastAsia="zh-CN"/>
        </w:rPr>
      </w:pPr>
      <w:r>
        <w:rPr>
          <w:rFonts w:hint="eastAsia"/>
          <w:lang w:eastAsia="zh-CN"/>
        </w:rPr>
        <w:t>2、建议企业今后认真按照《方案》规定的开采顺序组织生产，矿山建设、生产中须严格执行安全、生态保护等规定，矿山安全、环境 保护、水土保持等，按照各相应主管部门审批的方案执行，加强安全生产防范、做好生态环境保护等工作，避免人为造成矿产资源无法开发的损失。</w:t>
      </w:r>
    </w:p>
    <w:p w14:paraId="442B313E">
      <w:pPr>
        <w:pStyle w:val="4"/>
        <w:adjustRightInd w:val="0"/>
        <w:snapToGrid w:val="0"/>
        <w:spacing w:line="560" w:lineRule="exact"/>
        <w:ind w:left="0" w:firstLine="560" w:firstLineChars="200"/>
        <w:jc w:val="both"/>
        <w:rPr>
          <w:rFonts w:hint="eastAsia"/>
          <w:lang w:eastAsia="zh-CN"/>
        </w:rPr>
      </w:pPr>
      <w:r>
        <w:rPr>
          <w:rFonts w:hint="eastAsia"/>
          <w:lang w:eastAsia="zh-CN"/>
        </w:rPr>
        <w:t>3</w:t>
      </w:r>
      <w:r>
        <w:rPr>
          <w:lang w:eastAsia="zh-CN"/>
        </w:rPr>
        <w:t>、</w:t>
      </w:r>
      <w:r>
        <w:rPr>
          <w:rFonts w:hint="eastAsia"/>
          <w:lang w:eastAsia="zh-CN"/>
        </w:rPr>
        <w:t>根据《矿山地质环境保护与恢复治理方案编制规范》（DZ/T0223-2011）、《土地复垦方案编制规程》（TD/T1031-2011）及《矿山地质环境保护与土地复垦方案编制指南》（2016年12月），矿山如扩大生产规模、变更矿区范围或开采方式，应重新编制矿山地质环境保护与土地复垦方案。</w:t>
      </w:r>
    </w:p>
    <w:p w14:paraId="480CEEAA">
      <w:pPr>
        <w:pStyle w:val="4"/>
        <w:adjustRightInd w:val="0"/>
        <w:snapToGrid w:val="0"/>
        <w:spacing w:line="560" w:lineRule="exact"/>
        <w:ind w:left="0" w:firstLine="560" w:firstLineChars="200"/>
        <w:jc w:val="both"/>
        <w:rPr>
          <w:rFonts w:hint="eastAsia"/>
          <w:lang w:eastAsia="zh-CN"/>
        </w:rPr>
      </w:pPr>
      <w:r>
        <w:rPr>
          <w:rFonts w:hint="eastAsia"/>
          <w:lang w:eastAsia="zh-CN"/>
        </w:rPr>
        <w:t>4</w:t>
      </w:r>
      <w:r>
        <w:rPr>
          <w:lang w:eastAsia="zh-CN"/>
        </w:rPr>
        <w:t>、</w:t>
      </w:r>
      <w:r>
        <w:rPr>
          <w:rFonts w:hint="eastAsia"/>
          <w:lang w:eastAsia="zh-CN"/>
        </w:rPr>
        <w:t>严格执行矿山地质环境治理与土地复垦工程监理制度，接受自然资源管理部门、环保部门对矿山地质环境治理与土地复垦措施的实施进度、质量和资金利用等情况监控管理，保证工程质量；作好矿区地质环境治理工程与地质环境监测、土地复垦工程与土地复垦监测的实施、管理和监督工作。</w:t>
      </w:r>
    </w:p>
    <w:p w14:paraId="332CD31D">
      <w:pPr>
        <w:pStyle w:val="4"/>
        <w:adjustRightInd w:val="0"/>
        <w:snapToGrid w:val="0"/>
        <w:spacing w:line="560" w:lineRule="exact"/>
        <w:ind w:left="0" w:firstLine="560" w:firstLineChars="200"/>
        <w:jc w:val="both"/>
        <w:rPr>
          <w:rFonts w:hint="eastAsia"/>
          <w:lang w:eastAsia="zh-CN"/>
        </w:rPr>
      </w:pPr>
      <w:r>
        <w:rPr>
          <w:rFonts w:hint="eastAsia"/>
          <w:lang w:eastAsia="zh-CN"/>
        </w:rPr>
        <w:t>5、矿山开采过程中，应严格按照开发利用方案开采，对开采活动产生的矿山地质问题与土地损毁要严格防治，采取切实有效的措施，最大限度减少矿产资源开发对地质环境与土地损毁的影响和破坏，真正做到“在开发中保护，在保护中开发”。</w:t>
      </w:r>
    </w:p>
    <w:p w14:paraId="19590C48">
      <w:pPr>
        <w:pStyle w:val="4"/>
        <w:adjustRightInd w:val="0"/>
        <w:snapToGrid w:val="0"/>
        <w:spacing w:line="560" w:lineRule="exact"/>
        <w:ind w:left="0" w:firstLine="560" w:firstLineChars="200"/>
        <w:jc w:val="both"/>
        <w:rPr>
          <w:rFonts w:hint="eastAsia"/>
          <w:lang w:eastAsia="zh-CN"/>
        </w:rPr>
      </w:pPr>
      <w:r>
        <w:rPr>
          <w:rFonts w:hint="eastAsia"/>
          <w:lang w:eastAsia="zh-CN"/>
        </w:rPr>
        <w:t>6、做好地质环境监测，特别是露天采场边坡崩塌地质灾害监测、地形地貌景观、土地损毁监测，发现异常情况，及时采取相应治理措施。</w:t>
      </w:r>
    </w:p>
    <w:p w14:paraId="7EDB3502">
      <w:pPr>
        <w:pStyle w:val="4"/>
        <w:adjustRightInd w:val="0"/>
        <w:snapToGrid w:val="0"/>
        <w:spacing w:line="560" w:lineRule="exact"/>
        <w:ind w:left="0" w:firstLine="560" w:firstLineChars="200"/>
        <w:jc w:val="both"/>
        <w:rPr>
          <w:rFonts w:hint="eastAsia"/>
          <w:lang w:eastAsia="zh-CN"/>
        </w:rPr>
      </w:pPr>
    </w:p>
    <w:p w14:paraId="60CDE084">
      <w:pPr>
        <w:pStyle w:val="4"/>
        <w:adjustRightInd w:val="0"/>
        <w:snapToGrid w:val="0"/>
        <w:spacing w:line="560" w:lineRule="exact"/>
        <w:ind w:left="0" w:firstLine="560" w:firstLineChars="200"/>
        <w:jc w:val="both"/>
        <w:rPr>
          <w:rFonts w:hint="eastAsia"/>
          <w:lang w:eastAsia="zh-CN"/>
        </w:rPr>
      </w:pPr>
    </w:p>
    <w:p w14:paraId="17487EF6">
      <w:pPr>
        <w:pStyle w:val="4"/>
        <w:adjustRightInd w:val="0"/>
        <w:snapToGrid w:val="0"/>
        <w:spacing w:line="560" w:lineRule="exact"/>
        <w:ind w:left="0" w:firstLine="560" w:firstLineChars="200"/>
        <w:jc w:val="both"/>
        <w:rPr>
          <w:rFonts w:hint="eastAsia"/>
          <w:lang w:eastAsia="zh-CN"/>
        </w:rPr>
      </w:pPr>
    </w:p>
    <w:p w14:paraId="2617F2CC">
      <w:pPr>
        <w:pStyle w:val="4"/>
        <w:adjustRightInd w:val="0"/>
        <w:snapToGrid w:val="0"/>
        <w:spacing w:line="560" w:lineRule="exact"/>
        <w:ind w:left="0" w:firstLine="560" w:firstLineChars="200"/>
        <w:jc w:val="both"/>
        <w:rPr>
          <w:rFonts w:hint="eastAsia"/>
          <w:lang w:eastAsia="zh-CN"/>
        </w:rPr>
      </w:pPr>
    </w:p>
    <w:p w14:paraId="0F7B6686">
      <w:pPr>
        <w:pStyle w:val="4"/>
        <w:adjustRightInd w:val="0"/>
        <w:snapToGrid w:val="0"/>
        <w:spacing w:line="560" w:lineRule="exact"/>
        <w:ind w:left="0" w:firstLine="560" w:firstLineChars="200"/>
        <w:jc w:val="both"/>
        <w:rPr>
          <w:rFonts w:hint="eastAsia"/>
          <w:lang w:eastAsia="zh-CN"/>
        </w:rPr>
      </w:pPr>
    </w:p>
    <w:p w14:paraId="2F809258">
      <w:pPr>
        <w:pStyle w:val="4"/>
        <w:adjustRightInd w:val="0"/>
        <w:snapToGrid w:val="0"/>
        <w:spacing w:line="560" w:lineRule="exact"/>
        <w:ind w:left="0" w:firstLine="560" w:firstLineChars="200"/>
        <w:jc w:val="both"/>
        <w:rPr>
          <w:rFonts w:hint="eastAsia"/>
          <w:lang w:eastAsia="zh-CN"/>
        </w:rPr>
      </w:pPr>
    </w:p>
    <w:p w14:paraId="7366A3E4">
      <w:pPr>
        <w:pStyle w:val="4"/>
        <w:adjustRightInd w:val="0"/>
        <w:snapToGrid w:val="0"/>
        <w:spacing w:line="560" w:lineRule="exact"/>
        <w:ind w:left="0" w:firstLine="560" w:firstLineChars="200"/>
        <w:jc w:val="both"/>
        <w:rPr>
          <w:rFonts w:hint="eastAsia"/>
          <w:lang w:eastAsia="zh-CN"/>
        </w:rPr>
      </w:pPr>
    </w:p>
    <w:p w14:paraId="78073B1A">
      <w:pPr>
        <w:pStyle w:val="4"/>
        <w:adjustRightInd w:val="0"/>
        <w:snapToGrid w:val="0"/>
        <w:spacing w:line="560" w:lineRule="exact"/>
        <w:ind w:left="0" w:firstLine="560" w:firstLineChars="200"/>
        <w:jc w:val="both"/>
        <w:rPr>
          <w:rFonts w:hint="eastAsia"/>
          <w:lang w:eastAsia="zh-CN"/>
        </w:rPr>
      </w:pPr>
    </w:p>
    <w:p w14:paraId="0A60E331">
      <w:pPr>
        <w:pStyle w:val="4"/>
        <w:adjustRightInd w:val="0"/>
        <w:snapToGrid w:val="0"/>
        <w:spacing w:line="560" w:lineRule="exact"/>
        <w:ind w:left="0" w:firstLine="560" w:firstLineChars="200"/>
        <w:jc w:val="both"/>
        <w:rPr>
          <w:rFonts w:hint="eastAsia"/>
          <w:lang w:eastAsia="zh-CN"/>
        </w:rPr>
      </w:pPr>
    </w:p>
    <w:p w14:paraId="76D2C224">
      <w:pPr>
        <w:pStyle w:val="4"/>
        <w:adjustRightInd w:val="0"/>
        <w:snapToGrid w:val="0"/>
        <w:spacing w:line="560" w:lineRule="exact"/>
        <w:ind w:left="0" w:firstLine="560" w:firstLineChars="200"/>
        <w:jc w:val="both"/>
        <w:rPr>
          <w:rFonts w:hint="eastAsia"/>
          <w:lang w:eastAsia="zh-CN"/>
        </w:rPr>
      </w:pPr>
    </w:p>
    <w:p w14:paraId="4E0883DF">
      <w:pPr>
        <w:pStyle w:val="4"/>
        <w:adjustRightInd w:val="0"/>
        <w:snapToGrid w:val="0"/>
        <w:spacing w:line="560" w:lineRule="exact"/>
        <w:ind w:left="0" w:firstLine="560" w:firstLineChars="200"/>
        <w:jc w:val="both"/>
        <w:rPr>
          <w:rFonts w:hint="eastAsia"/>
          <w:lang w:eastAsia="zh-CN"/>
        </w:rPr>
      </w:pPr>
    </w:p>
    <w:p w14:paraId="247FA01A">
      <w:pPr>
        <w:pStyle w:val="4"/>
        <w:adjustRightInd w:val="0"/>
        <w:snapToGrid w:val="0"/>
        <w:spacing w:line="560" w:lineRule="exact"/>
        <w:ind w:left="0" w:firstLine="560" w:firstLineChars="200"/>
        <w:jc w:val="both"/>
        <w:rPr>
          <w:rFonts w:hint="eastAsia"/>
          <w:lang w:eastAsia="zh-CN"/>
        </w:rPr>
      </w:pPr>
    </w:p>
    <w:p w14:paraId="29555950">
      <w:pPr>
        <w:pStyle w:val="4"/>
        <w:adjustRightInd w:val="0"/>
        <w:snapToGrid w:val="0"/>
        <w:spacing w:line="560" w:lineRule="exact"/>
        <w:ind w:left="0" w:firstLine="560" w:firstLineChars="200"/>
        <w:jc w:val="both"/>
        <w:rPr>
          <w:rFonts w:hint="eastAsia"/>
          <w:lang w:eastAsia="zh-CN"/>
        </w:rPr>
      </w:pPr>
    </w:p>
    <w:p w14:paraId="7C8C5E4F">
      <w:pPr>
        <w:pStyle w:val="4"/>
        <w:adjustRightInd w:val="0"/>
        <w:snapToGrid w:val="0"/>
        <w:spacing w:line="560" w:lineRule="exact"/>
        <w:ind w:left="0" w:firstLine="560" w:firstLineChars="200"/>
        <w:jc w:val="both"/>
        <w:rPr>
          <w:rFonts w:hint="eastAsia"/>
          <w:lang w:eastAsia="zh-CN"/>
        </w:rPr>
      </w:pPr>
    </w:p>
    <w:p w14:paraId="2E6FF44B">
      <w:pPr>
        <w:pStyle w:val="4"/>
        <w:adjustRightInd w:val="0"/>
        <w:snapToGrid w:val="0"/>
        <w:spacing w:line="560" w:lineRule="exact"/>
        <w:ind w:left="0" w:firstLine="560" w:firstLineChars="200"/>
        <w:jc w:val="both"/>
        <w:rPr>
          <w:rFonts w:hint="eastAsia"/>
          <w:lang w:eastAsia="zh-CN"/>
        </w:rPr>
      </w:pPr>
    </w:p>
    <w:p w14:paraId="2FEA531E">
      <w:pPr>
        <w:pStyle w:val="4"/>
        <w:adjustRightInd w:val="0"/>
        <w:snapToGrid w:val="0"/>
        <w:spacing w:line="560" w:lineRule="exact"/>
        <w:ind w:left="0" w:firstLine="560" w:firstLineChars="200"/>
        <w:jc w:val="both"/>
        <w:rPr>
          <w:rFonts w:hint="eastAsia"/>
          <w:lang w:eastAsia="zh-CN"/>
        </w:rPr>
      </w:pPr>
      <w:r>
        <w:rPr>
          <w:lang w:eastAsia="zh-CN"/>
        </w:rPr>
        <w:t>附件：《</w:t>
      </w:r>
      <w:r>
        <w:rPr>
          <w:rFonts w:hint="eastAsia"/>
          <w:lang w:eastAsia="zh-CN"/>
        </w:rPr>
        <w:t>伊犁天山混凝土有限责任公司察布查尔县海努克砂石矿矿产资源开发利用与生态保护修复方案</w:t>
      </w:r>
      <w:r>
        <w:rPr>
          <w:lang w:eastAsia="zh-CN"/>
        </w:rPr>
        <w:t>》评审专家组名单</w:t>
      </w:r>
    </w:p>
    <w:p w14:paraId="4B837D57">
      <w:pPr>
        <w:rPr>
          <w:rFonts w:hint="eastAsia"/>
          <w:lang w:eastAsia="zh-CN"/>
        </w:rPr>
        <w:sectPr>
          <w:footerReference r:id="rId3" w:type="default"/>
          <w:pgSz w:w="11910" w:h="16840"/>
          <w:pgMar w:top="1540" w:right="1400" w:bottom="1540" w:left="1320" w:header="680" w:footer="680" w:gutter="0"/>
          <w:cols w:space="720" w:num="1"/>
        </w:sectPr>
      </w:pPr>
    </w:p>
    <w:p w14:paraId="07D7902B">
      <w:pPr>
        <w:spacing w:line="331" w:lineRule="auto"/>
        <w:ind w:right="26"/>
        <w:jc w:val="center"/>
        <w:rPr>
          <w:rFonts w:hint="eastAsia"/>
          <w:color w:val="282D2F"/>
          <w:sz w:val="32"/>
          <w:szCs w:val="32"/>
          <w:lang w:eastAsia="zh-CN"/>
        </w:rPr>
      </w:pPr>
    </w:p>
    <w:p w14:paraId="0563B9A6">
      <w:pPr>
        <w:spacing w:line="331" w:lineRule="auto"/>
        <w:ind w:right="26"/>
        <w:jc w:val="center"/>
        <w:rPr>
          <w:rFonts w:hint="eastAsia"/>
          <w:color w:val="282D2F"/>
          <w:sz w:val="32"/>
          <w:szCs w:val="32"/>
          <w:lang w:eastAsia="zh-CN"/>
        </w:rPr>
      </w:pPr>
    </w:p>
    <w:p w14:paraId="2D424C6A">
      <w:pPr>
        <w:spacing w:line="331" w:lineRule="auto"/>
        <w:ind w:right="26"/>
        <w:jc w:val="center"/>
        <w:rPr>
          <w:rFonts w:hint="eastAsia"/>
          <w:color w:val="282D2F"/>
          <w:sz w:val="32"/>
          <w:szCs w:val="32"/>
          <w:lang w:eastAsia="zh-CN"/>
        </w:rPr>
      </w:pPr>
      <w:r>
        <w:rPr>
          <w:color w:val="282D2F"/>
          <w:sz w:val="32"/>
          <w:szCs w:val="32"/>
          <w:lang w:eastAsia="zh-CN"/>
        </w:rPr>
        <w:t>《</w:t>
      </w:r>
      <w:r>
        <w:rPr>
          <w:rFonts w:hint="eastAsia"/>
          <w:color w:val="282D2F"/>
          <w:sz w:val="32"/>
          <w:szCs w:val="32"/>
          <w:lang w:eastAsia="zh-CN"/>
        </w:rPr>
        <w:t>伊犁天山混凝土有限责任公司察布查尔县海努克砂石矿矿产资源开发利用与生态保护修复方案</w:t>
      </w:r>
      <w:r>
        <w:rPr>
          <w:color w:val="282D2F"/>
          <w:sz w:val="32"/>
          <w:szCs w:val="32"/>
          <w:lang w:eastAsia="zh-CN"/>
        </w:rPr>
        <w:t>》</w:t>
      </w:r>
    </w:p>
    <w:p w14:paraId="6B9824C4">
      <w:pPr>
        <w:spacing w:line="331" w:lineRule="auto"/>
        <w:ind w:right="26"/>
        <w:jc w:val="center"/>
        <w:rPr>
          <w:rFonts w:hint="eastAsia"/>
          <w:color w:val="282D2F"/>
          <w:sz w:val="32"/>
          <w:szCs w:val="32"/>
          <w:lang w:eastAsia="zh-CN"/>
        </w:rPr>
      </w:pPr>
      <w:r>
        <w:rPr>
          <w:color w:val="282D2F"/>
          <w:sz w:val="32"/>
          <w:szCs w:val="32"/>
          <w:lang w:eastAsia="zh-CN"/>
        </w:rPr>
        <w:t>评审专家组成员名单</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38"/>
        <w:gridCol w:w="2515"/>
        <w:gridCol w:w="1418"/>
        <w:gridCol w:w="1847"/>
      </w:tblGrid>
      <w:tr w14:paraId="069EC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EDFE7D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姓名</w:t>
            </w:r>
          </w:p>
        </w:tc>
        <w:tc>
          <w:tcPr>
            <w:tcW w:w="1638" w:type="dxa"/>
            <w:vAlign w:val="center"/>
          </w:tcPr>
          <w:p w14:paraId="3ECE3E2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专家组成员</w:t>
            </w:r>
          </w:p>
        </w:tc>
        <w:tc>
          <w:tcPr>
            <w:tcW w:w="2515" w:type="dxa"/>
            <w:vAlign w:val="center"/>
          </w:tcPr>
          <w:p w14:paraId="0932711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专业</w:t>
            </w:r>
          </w:p>
        </w:tc>
        <w:tc>
          <w:tcPr>
            <w:tcW w:w="1418" w:type="dxa"/>
            <w:vAlign w:val="center"/>
          </w:tcPr>
          <w:p w14:paraId="6F28ADC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技术职称</w:t>
            </w:r>
          </w:p>
        </w:tc>
        <w:tc>
          <w:tcPr>
            <w:tcW w:w="1847" w:type="dxa"/>
            <w:vAlign w:val="center"/>
          </w:tcPr>
          <w:p w14:paraId="1F8F2E86">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签 字</w:t>
            </w:r>
          </w:p>
        </w:tc>
      </w:tr>
      <w:tr w14:paraId="521BA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1521197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李国基</w:t>
            </w:r>
          </w:p>
        </w:tc>
        <w:tc>
          <w:tcPr>
            <w:tcW w:w="1638" w:type="dxa"/>
            <w:vAlign w:val="center"/>
          </w:tcPr>
          <w:p w14:paraId="31D9F96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1241360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地质矿产、采矿工程</w:t>
            </w:r>
          </w:p>
        </w:tc>
        <w:tc>
          <w:tcPr>
            <w:tcW w:w="1418" w:type="dxa"/>
            <w:vAlign w:val="center"/>
          </w:tcPr>
          <w:p w14:paraId="6AC2E6C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1C4B970">
            <w:pPr>
              <w:autoSpaceDE/>
              <w:autoSpaceDN/>
              <w:jc w:val="center"/>
              <w:rPr>
                <w:rFonts w:hint="eastAsia" w:asciiTheme="minorEastAsia" w:hAnsiTheme="minorEastAsia" w:eastAsiaTheme="minorEastAsia"/>
                <w:kern w:val="2"/>
                <w:sz w:val="24"/>
                <w:szCs w:val="24"/>
                <w:lang w:eastAsia="zh-CN"/>
              </w:rPr>
            </w:pPr>
            <w:r>
              <w:drawing>
                <wp:inline distT="0" distB="0" distL="0" distR="0">
                  <wp:extent cx="715010" cy="357505"/>
                  <wp:effectExtent l="0" t="0" r="8890" b="4445"/>
                  <wp:docPr id="1396958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58153" name="图片 1"/>
                          <pic:cNvPicPr>
                            <a:picLocks noChangeAspect="1"/>
                          </pic:cNvPicPr>
                        </pic:nvPicPr>
                        <pic:blipFill>
                          <a:blip r:embed="rId6"/>
                          <a:stretch>
                            <a:fillRect/>
                          </a:stretch>
                        </pic:blipFill>
                        <pic:spPr>
                          <a:xfrm>
                            <a:off x="0" y="0"/>
                            <a:ext cx="719426" cy="359449"/>
                          </a:xfrm>
                          <a:prstGeom prst="rect">
                            <a:avLst/>
                          </a:prstGeom>
                        </pic:spPr>
                      </pic:pic>
                    </a:graphicData>
                  </a:graphic>
                </wp:inline>
              </w:drawing>
            </w:r>
          </w:p>
        </w:tc>
      </w:tr>
      <w:tr w14:paraId="48B93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A8DF24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顾培红</w:t>
            </w:r>
          </w:p>
        </w:tc>
        <w:tc>
          <w:tcPr>
            <w:tcW w:w="1638" w:type="dxa"/>
            <w:vAlign w:val="center"/>
          </w:tcPr>
          <w:p w14:paraId="0293BBC0">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8966C3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生态保护与土地复垦</w:t>
            </w:r>
          </w:p>
        </w:tc>
        <w:tc>
          <w:tcPr>
            <w:tcW w:w="1418" w:type="dxa"/>
            <w:vAlign w:val="center"/>
          </w:tcPr>
          <w:p w14:paraId="3DC1A3E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01B1D51">
            <w:pPr>
              <w:autoSpaceDE/>
              <w:autoSpaceDN/>
              <w:jc w:val="center"/>
              <w:rPr>
                <w:rFonts w:hint="eastAsia" w:asciiTheme="minorEastAsia" w:hAnsiTheme="minorEastAsia" w:eastAsiaTheme="minorEastAsia"/>
                <w:kern w:val="2"/>
                <w:sz w:val="24"/>
                <w:szCs w:val="24"/>
                <w:lang w:eastAsia="zh-CN"/>
              </w:rPr>
            </w:pPr>
            <w:r>
              <w:drawing>
                <wp:inline distT="0" distB="0" distL="0" distR="0">
                  <wp:extent cx="690880" cy="309880"/>
                  <wp:effectExtent l="0" t="0" r="0" b="0"/>
                  <wp:docPr id="2027454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54532" name="图片 1"/>
                          <pic:cNvPicPr>
                            <a:picLocks noChangeAspect="1"/>
                          </pic:cNvPicPr>
                        </pic:nvPicPr>
                        <pic:blipFill>
                          <a:blip r:embed="rId7"/>
                          <a:stretch>
                            <a:fillRect/>
                          </a:stretch>
                        </pic:blipFill>
                        <pic:spPr>
                          <a:xfrm>
                            <a:off x="0" y="0"/>
                            <a:ext cx="696167" cy="312471"/>
                          </a:xfrm>
                          <a:prstGeom prst="rect">
                            <a:avLst/>
                          </a:prstGeom>
                        </pic:spPr>
                      </pic:pic>
                    </a:graphicData>
                  </a:graphic>
                </wp:inline>
              </w:drawing>
            </w:r>
          </w:p>
        </w:tc>
      </w:tr>
      <w:tr w14:paraId="542E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62C4BA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张新红</w:t>
            </w:r>
          </w:p>
        </w:tc>
        <w:tc>
          <w:tcPr>
            <w:tcW w:w="1638" w:type="dxa"/>
            <w:vAlign w:val="center"/>
          </w:tcPr>
          <w:p w14:paraId="6C5E56FF">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A3C69F9">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经济评价</w:t>
            </w:r>
          </w:p>
        </w:tc>
        <w:tc>
          <w:tcPr>
            <w:tcW w:w="1418" w:type="dxa"/>
            <w:vAlign w:val="center"/>
          </w:tcPr>
          <w:p w14:paraId="7ABA60AD">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高级经济师</w:t>
            </w:r>
          </w:p>
        </w:tc>
        <w:tc>
          <w:tcPr>
            <w:tcW w:w="1847" w:type="dxa"/>
            <w:vAlign w:val="center"/>
          </w:tcPr>
          <w:p w14:paraId="5B1BCA5A">
            <w:pPr>
              <w:autoSpaceDE/>
              <w:autoSpaceDN/>
              <w:jc w:val="center"/>
              <w:rPr>
                <w:rFonts w:hint="eastAsia" w:asciiTheme="minorEastAsia" w:hAnsiTheme="minorEastAsia" w:eastAsiaTheme="minorEastAsia"/>
                <w:kern w:val="2"/>
                <w:sz w:val="24"/>
                <w:szCs w:val="24"/>
                <w:lang w:eastAsia="zh-CN"/>
              </w:rPr>
            </w:pPr>
            <w:r>
              <w:drawing>
                <wp:inline distT="0" distB="0" distL="0" distR="0">
                  <wp:extent cx="731520" cy="314960"/>
                  <wp:effectExtent l="0" t="0" r="0" b="8890"/>
                  <wp:docPr id="758415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5411" name="图片 1"/>
                          <pic:cNvPicPr>
                            <a:picLocks noChangeAspect="1"/>
                          </pic:cNvPicPr>
                        </pic:nvPicPr>
                        <pic:blipFill>
                          <a:blip r:embed="rId8"/>
                          <a:stretch>
                            <a:fillRect/>
                          </a:stretch>
                        </pic:blipFill>
                        <pic:spPr>
                          <a:xfrm>
                            <a:off x="0" y="0"/>
                            <a:ext cx="734939" cy="316703"/>
                          </a:xfrm>
                          <a:prstGeom prst="rect">
                            <a:avLst/>
                          </a:prstGeom>
                        </pic:spPr>
                      </pic:pic>
                    </a:graphicData>
                  </a:graphic>
                </wp:inline>
              </w:drawing>
            </w:r>
          </w:p>
        </w:tc>
      </w:tr>
    </w:tbl>
    <w:p w14:paraId="46C75BCE">
      <w:pPr>
        <w:pStyle w:val="4"/>
        <w:ind w:left="0"/>
        <w:rPr>
          <w:rFonts w:hint="eastAsia"/>
          <w:sz w:val="20"/>
        </w:rPr>
      </w:pPr>
    </w:p>
    <w:p w14:paraId="6919B730">
      <w:pPr>
        <w:pStyle w:val="4"/>
        <w:ind w:left="0"/>
        <w:rPr>
          <w:rFonts w:hint="eastAsia"/>
          <w:sz w:val="20"/>
        </w:rPr>
      </w:pPr>
    </w:p>
    <w:p w14:paraId="1A95A5F9">
      <w:pPr>
        <w:pStyle w:val="4"/>
        <w:ind w:left="0"/>
        <w:rPr>
          <w:rFonts w:hint="eastAsia"/>
          <w:sz w:val="20"/>
        </w:rPr>
      </w:pPr>
    </w:p>
    <w:sectPr>
      <w:footerReference r:id="rId4" w:type="default"/>
      <w:pgSz w:w="11910" w:h="16840"/>
      <w:pgMar w:top="1542" w:right="1378" w:bottom="278" w:left="1298"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9473440"/>
      <w:docPartObj>
        <w:docPartGallery w:val="autotext"/>
      </w:docPartObj>
    </w:sdtPr>
    <w:sdtContent>
      <w:p w14:paraId="3370DE34">
        <w:pPr>
          <w:pStyle w:val="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17BEAE81">
    <w:pPr>
      <w:pStyle w:val="4"/>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146">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2E"/>
    <w:rsid w:val="00005DD2"/>
    <w:rsid w:val="000149C8"/>
    <w:rsid w:val="00061658"/>
    <w:rsid w:val="000B0FF9"/>
    <w:rsid w:val="000D2F21"/>
    <w:rsid w:val="000E09C5"/>
    <w:rsid w:val="000E7431"/>
    <w:rsid w:val="00114A12"/>
    <w:rsid w:val="001155F8"/>
    <w:rsid w:val="00136EFD"/>
    <w:rsid w:val="00137E1E"/>
    <w:rsid w:val="00177A05"/>
    <w:rsid w:val="00191CB5"/>
    <w:rsid w:val="001A0942"/>
    <w:rsid w:val="001E36D0"/>
    <w:rsid w:val="002202D9"/>
    <w:rsid w:val="00245F71"/>
    <w:rsid w:val="00260CB9"/>
    <w:rsid w:val="00284FA3"/>
    <w:rsid w:val="003309D0"/>
    <w:rsid w:val="00344B01"/>
    <w:rsid w:val="003C7020"/>
    <w:rsid w:val="003E6587"/>
    <w:rsid w:val="00405F54"/>
    <w:rsid w:val="00421B12"/>
    <w:rsid w:val="004223B0"/>
    <w:rsid w:val="0043780F"/>
    <w:rsid w:val="004902DA"/>
    <w:rsid w:val="004A2C6B"/>
    <w:rsid w:val="004E2E8B"/>
    <w:rsid w:val="00514B2C"/>
    <w:rsid w:val="0057326B"/>
    <w:rsid w:val="005834C1"/>
    <w:rsid w:val="00583F4C"/>
    <w:rsid w:val="00584BDE"/>
    <w:rsid w:val="00591F57"/>
    <w:rsid w:val="005A67E7"/>
    <w:rsid w:val="005C16AE"/>
    <w:rsid w:val="005F1EF4"/>
    <w:rsid w:val="00625066"/>
    <w:rsid w:val="00655F07"/>
    <w:rsid w:val="00661436"/>
    <w:rsid w:val="006646B0"/>
    <w:rsid w:val="00664BF1"/>
    <w:rsid w:val="00681AEC"/>
    <w:rsid w:val="0069465A"/>
    <w:rsid w:val="006C7A89"/>
    <w:rsid w:val="006F2137"/>
    <w:rsid w:val="00740FC6"/>
    <w:rsid w:val="007678E4"/>
    <w:rsid w:val="007712EF"/>
    <w:rsid w:val="007A4D86"/>
    <w:rsid w:val="007B2CBD"/>
    <w:rsid w:val="007B5538"/>
    <w:rsid w:val="007C5B51"/>
    <w:rsid w:val="007D022F"/>
    <w:rsid w:val="007D7224"/>
    <w:rsid w:val="007E241D"/>
    <w:rsid w:val="0080391E"/>
    <w:rsid w:val="00822A62"/>
    <w:rsid w:val="008616FF"/>
    <w:rsid w:val="0086756A"/>
    <w:rsid w:val="008967ED"/>
    <w:rsid w:val="008A0805"/>
    <w:rsid w:val="008B24D1"/>
    <w:rsid w:val="008B3962"/>
    <w:rsid w:val="008C3397"/>
    <w:rsid w:val="008C719C"/>
    <w:rsid w:val="008C778A"/>
    <w:rsid w:val="008E0046"/>
    <w:rsid w:val="009000A0"/>
    <w:rsid w:val="00903A75"/>
    <w:rsid w:val="00930449"/>
    <w:rsid w:val="00937368"/>
    <w:rsid w:val="009B002E"/>
    <w:rsid w:val="009B5061"/>
    <w:rsid w:val="009B6216"/>
    <w:rsid w:val="009C6699"/>
    <w:rsid w:val="009E60C4"/>
    <w:rsid w:val="00A30632"/>
    <w:rsid w:val="00A33160"/>
    <w:rsid w:val="00A6273C"/>
    <w:rsid w:val="00A64FA8"/>
    <w:rsid w:val="00A8329A"/>
    <w:rsid w:val="00AB2863"/>
    <w:rsid w:val="00AD2DA3"/>
    <w:rsid w:val="00AF0A23"/>
    <w:rsid w:val="00B0095B"/>
    <w:rsid w:val="00B05FED"/>
    <w:rsid w:val="00B11FBA"/>
    <w:rsid w:val="00B44E92"/>
    <w:rsid w:val="00B512BA"/>
    <w:rsid w:val="00B6190A"/>
    <w:rsid w:val="00B67574"/>
    <w:rsid w:val="00B73329"/>
    <w:rsid w:val="00B80FBD"/>
    <w:rsid w:val="00BD3B4F"/>
    <w:rsid w:val="00BE50D8"/>
    <w:rsid w:val="00C03615"/>
    <w:rsid w:val="00C03EDB"/>
    <w:rsid w:val="00C23E5D"/>
    <w:rsid w:val="00C33A32"/>
    <w:rsid w:val="00C4156F"/>
    <w:rsid w:val="00C66A10"/>
    <w:rsid w:val="00C855A4"/>
    <w:rsid w:val="00CA16F1"/>
    <w:rsid w:val="00CD0273"/>
    <w:rsid w:val="00CE037C"/>
    <w:rsid w:val="00D27640"/>
    <w:rsid w:val="00D348D9"/>
    <w:rsid w:val="00D64F91"/>
    <w:rsid w:val="00D854C2"/>
    <w:rsid w:val="00DE4B61"/>
    <w:rsid w:val="00DE6CD3"/>
    <w:rsid w:val="00E23B3A"/>
    <w:rsid w:val="00E305EE"/>
    <w:rsid w:val="00E54DCD"/>
    <w:rsid w:val="00E54F2B"/>
    <w:rsid w:val="00E726C8"/>
    <w:rsid w:val="00E76406"/>
    <w:rsid w:val="00E77571"/>
    <w:rsid w:val="00EB12C1"/>
    <w:rsid w:val="00EB246C"/>
    <w:rsid w:val="00F739CF"/>
    <w:rsid w:val="00FD45B8"/>
    <w:rsid w:val="00FD7911"/>
    <w:rsid w:val="00FD7DD8"/>
    <w:rsid w:val="2F647FEF"/>
    <w:rsid w:val="3B5A2C3A"/>
    <w:rsid w:val="41E2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left="330" w:right="334"/>
      <w:jc w:val="center"/>
      <w:outlineLvl w:val="0"/>
    </w:pPr>
    <w:rPr>
      <w:b/>
      <w:bCs/>
      <w:sz w:val="30"/>
      <w:szCs w:val="30"/>
    </w:rPr>
  </w:style>
  <w:style w:type="paragraph" w:styleId="3">
    <w:name w:val="heading 2"/>
    <w:basedOn w:val="1"/>
    <w:link w:val="14"/>
    <w:unhideWhenUsed/>
    <w:qFormat/>
    <w:uiPriority w:val="9"/>
    <w:pPr>
      <w:spacing w:before="44"/>
      <w:ind w:left="667"/>
      <w:outlineLvl w:val="1"/>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8"/>
    </w:pPr>
    <w:rPr>
      <w:sz w:val="28"/>
      <w:szCs w:val="2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27"/>
      <w:jc w:val="center"/>
    </w:pPr>
  </w:style>
  <w:style w:type="character" w:customStyle="1" w:styleId="12">
    <w:name w:val="页眉 字符"/>
    <w:basedOn w:val="8"/>
    <w:link w:val="6"/>
    <w:qFormat/>
    <w:uiPriority w:val="99"/>
    <w:rPr>
      <w:rFonts w:ascii="宋体" w:hAnsi="宋体" w:eastAsia="宋体" w:cs="宋体"/>
      <w:sz w:val="18"/>
      <w:szCs w:val="18"/>
    </w:rPr>
  </w:style>
  <w:style w:type="character" w:customStyle="1" w:styleId="13">
    <w:name w:val="页脚 字符"/>
    <w:basedOn w:val="8"/>
    <w:link w:val="5"/>
    <w:qFormat/>
    <w:uiPriority w:val="99"/>
    <w:rPr>
      <w:rFonts w:ascii="宋体" w:hAnsi="宋体" w:eastAsia="宋体" w:cs="宋体"/>
      <w:sz w:val="18"/>
      <w:szCs w:val="18"/>
    </w:rPr>
  </w:style>
  <w:style w:type="character" w:customStyle="1" w:styleId="14">
    <w:name w:val="标题 2 字符"/>
    <w:link w:val="3"/>
    <w:qFormat/>
    <w:uiPriority w:val="9"/>
    <w:rPr>
      <w:rFonts w:ascii="宋体" w:hAnsi="宋体" w:eastAsia="宋体" w:cs="宋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956</Words>
  <Characters>5452</Characters>
  <Lines>45</Lines>
  <Paragraphs>12</Paragraphs>
  <TotalTime>144</TotalTime>
  <ScaleCrop>false</ScaleCrop>
  <LinksUpToDate>false</LinksUpToDate>
  <CharactersWithSpaces>6396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2022-06-12T11:37:00Z</dcterms:created>
  <dc:creator>Administrator</dc:creator>
  <cp:lastModifiedBy>Administrator</cp:lastModifiedBy>
  <cp:lastPrinted>2024-12-23T04:41:00Z</cp:lastPrinted>
  <dcterms:modified xsi:type="dcterms:W3CDTF">2026-05-21T11:29:05Z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eyJoZGlkIjoiMDJiMDlkNTI1NzEyZWU4ZmIyODlkZmY5NGQ0N2NiZDUifQ==</vt:lpwstr>
  </property>
  <property fmtid="{D5CDD505-2E9C-101B-9397-08002B2CF9AE}" pid="3" name="KSOProductBuildVer">
    <vt:lpwstr>2052-12.1.0.24034</vt:lpwstr>
  </property>
  <property fmtid="{D5CDD505-2E9C-101B-9397-08002B2CF9AE}" pid="4" name="ICV">
    <vt:lpwstr>C71A6FB6408A46778928B1A3B82AF136_12</vt:lpwstr>
  </property>
</Properties>
</file>