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新疆伊犁州生态环境局</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察布查尔锡伯自治县分局</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w:t>
      </w:r>
      <w:bookmarkStart w:id="48" w:name="_GoBack"/>
      <w:bookmarkEnd w:id="48"/>
      <w:r>
        <w:rPr>
          <w:rFonts w:ascii="仿宋_GB2312" w:eastAsia="仿宋_GB2312"/>
          <w:sz w:val="32"/>
          <w:szCs w:val="32"/>
        </w:rPr>
        <w:t>一)落实国家环境保护基本制度。贯彻执行国家、自治区、自治州环境保护的</w:t>
      </w:r>
      <w:r>
        <w:rPr>
          <w:rFonts w:hint="eastAsia" w:ascii="仿宋_GB2312" w:eastAsia="仿宋_GB2312"/>
          <w:sz w:val="32"/>
          <w:szCs w:val="32"/>
          <w:lang w:eastAsia="zh-CN"/>
        </w:rPr>
        <w:t>法律法规</w:t>
      </w:r>
      <w:r>
        <w:rPr>
          <w:rFonts w:ascii="仿宋_GB2312" w:eastAsia="仿宋_GB2312"/>
          <w:sz w:val="32"/>
          <w:szCs w:val="32"/>
        </w:rPr>
        <w:t>和方针政策；拟定有关环境保护规范性文件草案；根据《中华人民共和国环境保护法》和《新疆维吾尔自治区环境保护条例》、《伊犁河流域生态环境保护条例》对自治县环境保护工作实施统一监督管理；协同有关部门贯彻执行与环境保护相关的经济、技术、资源配置和产业政策。</w:t>
      </w:r>
      <w:r>
        <w:rPr>
          <w:rFonts w:ascii="仿宋_GB2312" w:eastAsia="仿宋_GB2312"/>
          <w:sz w:val="32"/>
          <w:szCs w:val="32"/>
        </w:rPr>
        <w:br w:type="textWrapping"/>
      </w:r>
      <w:r>
        <w:rPr>
          <w:rFonts w:ascii="仿宋_GB2312" w:eastAsia="仿宋_GB2312"/>
          <w:sz w:val="32"/>
          <w:szCs w:val="32"/>
        </w:rPr>
        <w:t>　　(二)负责重大环境问题的统筹协调和监督管理。组织协调重大环境污染事故和生态破坏事件的调查处理，指导协调重大突发环境事件的应急、预警工作；组织实施察布查尔县行政区域内大气、水体、土壤等环境保护工作;负责环境监察和环境保护行政稽查；牵头组织开展全县环境保护执法检查活动；监督管理国家禁止（或严格限制）建设的重污染项目名录和有毒化学品控制名录。</w:t>
      </w:r>
      <w:r>
        <w:rPr>
          <w:rFonts w:ascii="仿宋_GB2312" w:eastAsia="仿宋_GB2312"/>
          <w:sz w:val="32"/>
          <w:szCs w:val="32"/>
        </w:rPr>
        <w:br w:type="textWrapping"/>
      </w:r>
      <w:r>
        <w:rPr>
          <w:rFonts w:ascii="仿宋_GB2312" w:eastAsia="仿宋_GB2312"/>
          <w:sz w:val="32"/>
          <w:szCs w:val="32"/>
        </w:rPr>
        <w:t>　　(三)负责环境污染防治的监督管理。负责水体、大气、土壤、噪声、光、恶臭、固体废物、化学品、重金属等污染防治管理细则的组织实施；负责权限内涉及水污染、大气污染排放许可证核发和管理工作；会同有关部门监督管理饮用水水源地环境保护工作。</w:t>
      </w:r>
      <w:r>
        <w:rPr>
          <w:rFonts w:ascii="仿宋_GB2312" w:eastAsia="仿宋_GB2312"/>
          <w:sz w:val="32"/>
          <w:szCs w:val="32"/>
        </w:rPr>
        <w:br w:type="textWrapping"/>
      </w:r>
      <w:r>
        <w:rPr>
          <w:rFonts w:ascii="仿宋_GB2312" w:eastAsia="仿宋_GB2312"/>
          <w:sz w:val="32"/>
          <w:szCs w:val="32"/>
        </w:rPr>
        <w:t>　　(四)指导、协调、监督生态保护工作。负责监督对生态环境有影响的自然资源开发利用活动、重要生态环境建设和生态破坏恢复工作；指导、协调、监督各类自然保护区、风景名胜(旅游)区、森林公园的环境保护工作；协调和监督野生动植物保护、湿地环境保护、荒漠化防治工作；组织协调生物多样性保护；负责组织实施本辖区生态环境监测与监察工作；负责乡村生态环境保护工作；指导生态农业建设。</w:t>
      </w:r>
      <w:r>
        <w:rPr>
          <w:rFonts w:ascii="仿宋_GB2312" w:eastAsia="仿宋_GB2312"/>
          <w:sz w:val="32"/>
          <w:szCs w:val="32"/>
        </w:rPr>
        <w:br w:type="textWrapping"/>
      </w:r>
      <w:r>
        <w:rPr>
          <w:rFonts w:ascii="仿宋_GB2312" w:eastAsia="仿宋_GB2312"/>
          <w:sz w:val="32"/>
          <w:szCs w:val="32"/>
        </w:rPr>
        <w:t>　　(五)拟定和组织实施各项环境管理制度；组织拟定并监督实施县重点区域、重点流域污染防治规划和饮用水水源地环境保护规划；参与编制自治县经济和社会发展规划;组织拟定和监督实施自治县生态保护规划；审核城乡总体规划中的环境保护内容；实施环境保护目标责任制考核工作；监督实施国家、自治区环境质量标准和污染物排放标准；组织辖区的环境影响评价、总量减排等环境管理制度的实施。</w:t>
      </w:r>
      <w:r>
        <w:rPr>
          <w:rFonts w:ascii="仿宋_GB2312" w:eastAsia="仿宋_GB2312"/>
          <w:sz w:val="32"/>
          <w:szCs w:val="32"/>
        </w:rPr>
        <w:br w:type="textWrapping"/>
      </w:r>
      <w:r>
        <w:rPr>
          <w:rFonts w:ascii="仿宋_GB2312" w:eastAsia="仿宋_GB2312"/>
          <w:sz w:val="32"/>
          <w:szCs w:val="32"/>
        </w:rPr>
        <w:t>　　(六)监督管理本辖区环保产品和绿色食品、天然有机食品市场，管理自治县环境标志认证，参与推动自治县环境保护产业发展。</w:t>
      </w:r>
      <w:r>
        <w:rPr>
          <w:rFonts w:ascii="仿宋_GB2312" w:eastAsia="仿宋_GB2312"/>
          <w:sz w:val="32"/>
          <w:szCs w:val="32"/>
        </w:rPr>
        <w:br w:type="textWrapping"/>
      </w:r>
      <w:r>
        <w:rPr>
          <w:rFonts w:ascii="仿宋_GB2312" w:eastAsia="仿宋_GB2312"/>
          <w:sz w:val="32"/>
          <w:szCs w:val="32"/>
        </w:rPr>
        <w:t>　　(七)参与自治县环境保护产业政策和发展规划有关工作。提出自治县环境保护领域固定资产投资规模和方向、上级环保财政性资金安排的意见；参与指导和推动循环经济和环保产业发展。</w:t>
      </w:r>
      <w:r>
        <w:rPr>
          <w:rFonts w:ascii="仿宋_GB2312" w:eastAsia="仿宋_GB2312"/>
          <w:sz w:val="32"/>
          <w:szCs w:val="32"/>
        </w:rPr>
        <w:br w:type="textWrapping"/>
      </w:r>
      <w:r>
        <w:rPr>
          <w:rFonts w:ascii="仿宋_GB2312" w:eastAsia="仿宋_GB2312"/>
          <w:sz w:val="32"/>
          <w:szCs w:val="32"/>
        </w:rPr>
        <w:t>　　(八)负责辐射安全的监督管理。负责权限内辐射环境事故应急处理工作；监督管理放射源安全、电磁辐射、伴有放射性矿产资源开发利用中的污染防治。</w:t>
      </w:r>
      <w:r>
        <w:rPr>
          <w:rFonts w:ascii="仿宋_GB2312" w:eastAsia="仿宋_GB2312"/>
          <w:sz w:val="32"/>
          <w:szCs w:val="32"/>
        </w:rPr>
        <w:br w:type="textWrapping"/>
      </w:r>
      <w:r>
        <w:rPr>
          <w:rFonts w:ascii="仿宋_GB2312" w:eastAsia="仿宋_GB2312"/>
          <w:sz w:val="32"/>
          <w:szCs w:val="32"/>
        </w:rPr>
        <w:t>　　(九)负责环境监测和信息发布。监督执行环境监测制度；组织实施环境质量监测和污染源监督性监测。建立和实行环境质量公告制度，负责发布自治县环境综合性报告和重大环境信息。负责上报自治县环境统计工作。</w:t>
      </w:r>
      <w:r>
        <w:rPr>
          <w:rFonts w:ascii="仿宋_GB2312" w:eastAsia="仿宋_GB2312"/>
          <w:sz w:val="32"/>
          <w:szCs w:val="32"/>
        </w:rPr>
        <w:br w:type="textWrapping"/>
      </w:r>
      <w:r>
        <w:rPr>
          <w:rFonts w:ascii="仿宋_GB2312" w:eastAsia="仿宋_GB2312"/>
          <w:sz w:val="32"/>
          <w:szCs w:val="32"/>
        </w:rPr>
        <w:t>　　(十)组织、指导和协调环境保护宣传教育工作。制定并组织实施环境保护宣传教育规划，开展生态文明建设和绿色发展等有关宣传教育工作，推动社会公众和社会组织参与环境保护；开展环境保护科技工作；指导自治县环境信息化建设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新疆伊犁州生态环境局察布查尔锡伯自治县分局</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23</w:t>
      </w:r>
      <w:r>
        <w:rPr>
          <w:rFonts w:hint="eastAsia" w:ascii="仿宋_GB2312" w:eastAsia="仿宋_GB2312"/>
          <w:sz w:val="32"/>
          <w:szCs w:val="32"/>
        </w:rPr>
        <w:t>人，其中：在职人员</w:t>
      </w:r>
      <w:r>
        <w:rPr>
          <w:rFonts w:ascii="仿宋_GB2312" w:eastAsia="仿宋_GB2312"/>
          <w:sz w:val="32"/>
          <w:szCs w:val="32"/>
        </w:rPr>
        <w:t>15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8</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从部门决算单位构成看，新疆伊犁州生态环境局察布查尔锡伯自治县分局部门决算包括：新疆伊犁州生态环境局察布查尔锡伯自治县分局决算。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个处室，分别是：办公室、污染控制与监督科、农村自然生态建设科</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年度收入总计314.63万元，其中：本年收入合计</w:t>
      </w:r>
      <w:r>
        <w:rPr>
          <w:rFonts w:ascii="仿宋_GB2312" w:eastAsia="仿宋_GB2312"/>
          <w:sz w:val="32"/>
          <w:szCs w:val="32"/>
        </w:rPr>
        <w:t>314.63</w:t>
      </w:r>
      <w:r>
        <w:rPr>
          <w:rFonts w:hint="eastAsia" w:ascii="仿宋_GB2312" w:eastAsia="仿宋_GB2312"/>
          <w:sz w:val="32"/>
          <w:szCs w:val="32"/>
        </w:rPr>
        <w:t>万元，使用非财政拨款结余0.00万元，年初结转和结余0.00万元。收入总计与上年相比，减少18.45万元，</w:t>
      </w:r>
      <w:r>
        <w:rPr>
          <w:rFonts w:ascii="仿宋_GB2312" w:eastAsia="仿宋_GB2312"/>
          <w:sz w:val="32"/>
          <w:szCs w:val="32"/>
        </w:rPr>
        <w:t>下降5.54</w:t>
      </w:r>
      <w:r>
        <w:rPr>
          <w:rFonts w:hint="eastAsia" w:ascii="仿宋_GB2312" w:eastAsia="仿宋_GB2312"/>
          <w:sz w:val="32"/>
          <w:szCs w:val="32"/>
        </w:rPr>
        <w:t>%，主要原因是：本年机构上划，人员减少，工资、社保、公积金等相关人员经费减少。</w:t>
      </w:r>
    </w:p>
    <w:p>
      <w:pPr>
        <w:ind w:firstLine="640" w:firstLineChars="200"/>
        <w:rPr>
          <w:rFonts w:ascii="仿宋_GB2312" w:eastAsia="仿宋_GB2312"/>
          <w:sz w:val="32"/>
          <w:szCs w:val="32"/>
        </w:rPr>
      </w:pPr>
      <w:r>
        <w:rPr>
          <w:rFonts w:hint="eastAsia" w:ascii="仿宋_GB2312" w:eastAsia="仿宋_GB2312"/>
          <w:sz w:val="32"/>
          <w:szCs w:val="32"/>
        </w:rPr>
        <w:t>本年支出总计314.63万元，其中：本年支出合计</w:t>
      </w:r>
      <w:r>
        <w:rPr>
          <w:rFonts w:ascii="仿宋_GB2312" w:eastAsia="仿宋_GB2312"/>
          <w:sz w:val="32"/>
          <w:szCs w:val="32"/>
        </w:rPr>
        <w:t>314.63</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减少18.45</w:t>
      </w:r>
      <w:r>
        <w:rPr>
          <w:rFonts w:hint="eastAsia" w:ascii="仿宋_GB2312" w:eastAsia="仿宋_GB2312"/>
          <w:sz w:val="32"/>
          <w:szCs w:val="32"/>
        </w:rPr>
        <w:t>万元，</w:t>
      </w:r>
      <w:r>
        <w:rPr>
          <w:rFonts w:ascii="仿宋_GB2312" w:eastAsia="仿宋_GB2312"/>
          <w:sz w:val="32"/>
          <w:szCs w:val="32"/>
        </w:rPr>
        <w:t>下降5.54</w:t>
      </w:r>
      <w:r>
        <w:rPr>
          <w:rFonts w:hint="eastAsia" w:ascii="仿宋_GB2312" w:eastAsia="仿宋_GB2312"/>
          <w:sz w:val="32"/>
          <w:szCs w:val="32"/>
        </w:rPr>
        <w:t>%，主要原因是：本年机构上划，人员减少，工资、社保、公积金等相关人员经费减少。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314.63</w:t>
      </w:r>
      <w:r>
        <w:rPr>
          <w:rFonts w:hint="eastAsia" w:ascii="仿宋_GB2312" w:eastAsia="仿宋_GB2312"/>
          <w:sz w:val="32"/>
          <w:szCs w:val="32"/>
        </w:rPr>
        <w:t>万元，其中：财政拨款收入</w:t>
      </w:r>
      <w:r>
        <w:rPr>
          <w:rFonts w:ascii="仿宋_GB2312" w:eastAsia="仿宋_GB2312"/>
          <w:sz w:val="32"/>
          <w:szCs w:val="32"/>
        </w:rPr>
        <w:t>264.63</w:t>
      </w:r>
      <w:r>
        <w:rPr>
          <w:rFonts w:hint="eastAsia" w:ascii="仿宋_GB2312" w:eastAsia="仿宋_GB2312"/>
          <w:sz w:val="32"/>
          <w:szCs w:val="32"/>
        </w:rPr>
        <w:t>万元，占84.11%；上级补助收入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50.00</w:t>
      </w:r>
      <w:r>
        <w:rPr>
          <w:rFonts w:hint="eastAsia" w:ascii="仿宋_GB2312" w:eastAsia="仿宋_GB2312"/>
          <w:sz w:val="32"/>
          <w:szCs w:val="32"/>
        </w:rPr>
        <w:t>万元，占15.89%。</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年度本年支出314.63万元，其中：基本支出</w:t>
      </w:r>
      <w:r>
        <w:rPr>
          <w:rFonts w:ascii="仿宋_GB2312" w:eastAsia="仿宋_GB2312"/>
          <w:sz w:val="32"/>
          <w:szCs w:val="32"/>
        </w:rPr>
        <w:t>314.63</w:t>
      </w:r>
      <w:r>
        <w:rPr>
          <w:rFonts w:hint="eastAsia" w:ascii="仿宋_GB2312" w:eastAsia="仿宋_GB2312"/>
          <w:sz w:val="32"/>
          <w:szCs w:val="32"/>
        </w:rPr>
        <w:t>万元，占100.00%；项目支出</w:t>
      </w:r>
      <w:r>
        <w:rPr>
          <w:rFonts w:ascii="仿宋_GB2312" w:eastAsia="仿宋_GB2312"/>
          <w:sz w:val="32"/>
          <w:szCs w:val="32"/>
        </w:rPr>
        <w:t>0.00</w:t>
      </w:r>
      <w:r>
        <w:rPr>
          <w:rFonts w:hint="eastAsia" w:ascii="仿宋_GB2312" w:eastAsia="仿宋_GB2312"/>
          <w:sz w:val="32"/>
          <w:szCs w:val="32"/>
        </w:rPr>
        <w:t>万元，占0.00%；上缴上级支出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264.63万元，其中：年初财政拨款结转和结余0.00万元，财政拨款本年收入264.63万元。财政拨款收入总计与上年相比，减少55.25万元，下降17.27%，主要原因是：本年机构上划，人员减少，工资、社保、公积金等相关人员经费减少。</w:t>
      </w:r>
    </w:p>
    <w:p>
      <w:pPr>
        <w:ind w:firstLine="640" w:firstLineChars="200"/>
        <w:rPr>
          <w:rFonts w:ascii="仿宋_GB2312" w:eastAsia="仿宋_GB2312"/>
          <w:sz w:val="32"/>
          <w:szCs w:val="32"/>
        </w:rPr>
      </w:pPr>
      <w:r>
        <w:rPr>
          <w:rFonts w:hint="eastAsia" w:ascii="仿宋_GB2312" w:eastAsia="仿宋_GB2312"/>
          <w:sz w:val="32"/>
          <w:szCs w:val="32"/>
        </w:rPr>
        <w:t>财政拨款支出总计264.63万元，其中：年末财政拨款结转和结余0.00万元，财政拨款本年支出264.63万元。财政拨款支出总计与上年相比，减少55.25万元，下降17.27%，主要原因是：本年机构上划，人员减少，工资、社保、公积金等相关人员经费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250.56</w:t>
      </w:r>
      <w:r>
        <w:rPr>
          <w:rFonts w:hint="eastAsia" w:ascii="仿宋_GB2312" w:eastAsia="仿宋_GB2312"/>
          <w:sz w:val="32"/>
          <w:szCs w:val="32"/>
        </w:rPr>
        <w:t>万元，决算数</w:t>
      </w:r>
      <w:r>
        <w:rPr>
          <w:rFonts w:ascii="仿宋_GB2312" w:eastAsia="仿宋_GB2312"/>
          <w:sz w:val="32"/>
          <w:szCs w:val="32"/>
        </w:rPr>
        <w:t>264.63</w:t>
      </w:r>
      <w:r>
        <w:rPr>
          <w:rFonts w:hint="eastAsia" w:ascii="仿宋_GB2312" w:eastAsia="仿宋_GB2312"/>
          <w:sz w:val="32"/>
          <w:szCs w:val="32"/>
        </w:rPr>
        <w:t>万元，预决算差异率</w:t>
      </w:r>
      <w:r>
        <w:rPr>
          <w:rFonts w:ascii="仿宋_GB2312" w:eastAsia="仿宋_GB2312"/>
          <w:sz w:val="32"/>
          <w:szCs w:val="32"/>
        </w:rPr>
        <w:t>5.62</w:t>
      </w:r>
      <w:r>
        <w:rPr>
          <w:rFonts w:hint="eastAsia" w:ascii="仿宋_GB2312" w:eastAsia="仿宋_GB2312"/>
          <w:sz w:val="32"/>
          <w:szCs w:val="32"/>
        </w:rPr>
        <w:t>%，主要原因是：补发了历年绩效工资，年中追加人员经费。财政拨款支出总计年初预算数</w:t>
      </w:r>
      <w:r>
        <w:rPr>
          <w:rFonts w:ascii="仿宋_GB2312" w:eastAsia="仿宋_GB2312"/>
          <w:sz w:val="32"/>
          <w:szCs w:val="32"/>
        </w:rPr>
        <w:t>250.56</w:t>
      </w:r>
      <w:r>
        <w:rPr>
          <w:rFonts w:hint="eastAsia" w:ascii="仿宋_GB2312" w:eastAsia="仿宋_GB2312"/>
          <w:sz w:val="32"/>
          <w:szCs w:val="32"/>
        </w:rPr>
        <w:t>万元，决算数</w:t>
      </w:r>
      <w:r>
        <w:rPr>
          <w:rFonts w:ascii="仿宋_GB2312" w:eastAsia="仿宋_GB2312"/>
          <w:sz w:val="32"/>
          <w:szCs w:val="32"/>
        </w:rPr>
        <w:t>264.63</w:t>
      </w:r>
      <w:r>
        <w:rPr>
          <w:rFonts w:hint="eastAsia" w:ascii="仿宋_GB2312" w:eastAsia="仿宋_GB2312"/>
          <w:sz w:val="32"/>
          <w:szCs w:val="32"/>
        </w:rPr>
        <w:t>万元，预决算差异率5.62%，主要原因是：补发了历年绩效工资，年中追加人员经费。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年度一般公共预算财政拨款支出264.63万元，占本年支出合计的</w:t>
      </w:r>
      <w:r>
        <w:rPr>
          <w:rFonts w:ascii="仿宋_GB2312" w:eastAsia="仿宋_GB2312"/>
          <w:sz w:val="32"/>
          <w:szCs w:val="32"/>
        </w:rPr>
        <w:t>84.11</w:t>
      </w:r>
      <w:r>
        <w:rPr>
          <w:rFonts w:hint="eastAsia" w:ascii="仿宋_GB2312" w:eastAsia="仿宋_GB2312"/>
          <w:sz w:val="32"/>
          <w:szCs w:val="32"/>
        </w:rPr>
        <w:t>%，与上年相比，</w:t>
      </w:r>
      <w:r>
        <w:rPr>
          <w:rFonts w:ascii="仿宋_GB2312" w:eastAsia="仿宋_GB2312"/>
          <w:sz w:val="32"/>
          <w:szCs w:val="32"/>
        </w:rPr>
        <w:t>减少55.25</w:t>
      </w:r>
      <w:r>
        <w:rPr>
          <w:rFonts w:hint="eastAsia" w:ascii="仿宋_GB2312" w:eastAsia="仿宋_GB2312"/>
          <w:sz w:val="32"/>
          <w:szCs w:val="32"/>
        </w:rPr>
        <w:t>万元，</w:t>
      </w:r>
      <w:r>
        <w:rPr>
          <w:rFonts w:ascii="仿宋_GB2312" w:eastAsia="仿宋_GB2312"/>
          <w:sz w:val="32"/>
          <w:szCs w:val="32"/>
        </w:rPr>
        <w:t>下降17.27</w:t>
      </w:r>
      <w:r>
        <w:rPr>
          <w:rFonts w:hint="eastAsia" w:ascii="仿宋_GB2312" w:eastAsia="仿宋_GB2312"/>
          <w:sz w:val="32"/>
          <w:szCs w:val="32"/>
        </w:rPr>
        <w:t>%，主要原因是：本年机构上划，人员减少，工资、社保、公积金等相关人员经费减少。</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1.社会保障和就业支出(类)22.21万元,占8.39%。</w:t>
      </w:r>
    </w:p>
    <w:p>
      <w:pPr>
        <w:ind w:firstLine="640" w:firstLineChars="200"/>
        <w:outlineLvl w:val="2"/>
        <w:rPr>
          <w:rFonts w:ascii="黑体" w:hAnsi="黑体" w:eastAsia="黑体"/>
          <w:sz w:val="32"/>
          <w:szCs w:val="32"/>
        </w:rPr>
      </w:pPr>
      <w:r>
        <w:rPr>
          <w:rFonts w:hint="eastAsia" w:ascii="仿宋_GB2312" w:eastAsia="仿宋_GB2312"/>
          <w:sz w:val="32"/>
          <w:szCs w:val="32"/>
        </w:rPr>
        <w:t>2.卫生健康支出(类)12.65万元,占4.78%。</w:t>
      </w:r>
    </w:p>
    <w:p>
      <w:pPr>
        <w:ind w:firstLine="640" w:firstLineChars="200"/>
        <w:outlineLvl w:val="2"/>
        <w:rPr>
          <w:rFonts w:ascii="黑体" w:hAnsi="黑体" w:eastAsia="黑体"/>
          <w:sz w:val="32"/>
          <w:szCs w:val="32"/>
        </w:rPr>
      </w:pPr>
      <w:r>
        <w:rPr>
          <w:rFonts w:hint="eastAsia" w:ascii="仿宋_GB2312" w:eastAsia="仿宋_GB2312"/>
          <w:sz w:val="32"/>
          <w:szCs w:val="32"/>
        </w:rPr>
        <w:t>3.节能环保支出(类)212.19万元,占80.18%。</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4.住房保障支出(类)17.59万元,占6.65%。</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1.社会保障和就业支出(类)行政事业单位养老支出(款)行政单位离退休(项):支出决算数为1.47万元，比上年决算增加1.47万元，增长100.00%</w:t>
      </w:r>
      <w:r>
        <w:rPr>
          <w:rFonts w:ascii="仿宋_GB2312" w:eastAsia="仿宋_GB2312"/>
          <w:sz w:val="32"/>
          <w:szCs w:val="32"/>
        </w:rPr>
        <w:t>,</w:t>
      </w:r>
      <w:r>
        <w:rPr>
          <w:rFonts w:hint="eastAsia" w:ascii="仿宋_GB2312" w:eastAsia="仿宋_GB2312"/>
          <w:sz w:val="32"/>
          <w:szCs w:val="32"/>
        </w:rPr>
        <w:t>主要原因是:本年科目调整，退休费单独核算，经费增加。</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2.社会保障和就业支出(类)行政事业单位养老支出(款)机关事业单位基本养老保险缴费支出(项):支出决算数为20.74万元，比上年决算减少1.44万元，下降6.49%</w:t>
      </w:r>
      <w:r>
        <w:rPr>
          <w:rFonts w:ascii="仿宋_GB2312" w:eastAsia="仿宋_GB2312"/>
          <w:sz w:val="32"/>
          <w:szCs w:val="32"/>
        </w:rPr>
        <w:t>,</w:t>
      </w:r>
      <w:r>
        <w:rPr>
          <w:rFonts w:hint="eastAsia" w:ascii="仿宋_GB2312" w:eastAsia="仿宋_GB2312"/>
          <w:sz w:val="32"/>
          <w:szCs w:val="32"/>
        </w:rPr>
        <w:t>主要原因是:机构上划，人员减少，养老保险缴费减少。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3.卫生健康支出(类)行政事业单位医疗(款)行政单位医疗(项):支出决算数为7.54万元，比上年决算减少3.91万元，下降34.15%</w:t>
      </w:r>
      <w:r>
        <w:rPr>
          <w:rFonts w:ascii="仿宋_GB2312" w:eastAsia="仿宋_GB2312"/>
          <w:sz w:val="32"/>
          <w:szCs w:val="32"/>
        </w:rPr>
        <w:t>,</w:t>
      </w:r>
      <w:r>
        <w:rPr>
          <w:rFonts w:hint="eastAsia" w:ascii="仿宋_GB2312" w:eastAsia="仿宋_GB2312"/>
          <w:sz w:val="32"/>
          <w:szCs w:val="32"/>
        </w:rPr>
        <w:t>主要原因是:本年科目调整，事业单位医疗单独核算，经费减少。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4.卫生健康支出(类)行政事业单位医疗(款)事业单位医疗(项):支出决算数为4.52万元，比上年决算增加4.52万元，增长100.00%</w:t>
      </w:r>
      <w:r>
        <w:rPr>
          <w:rFonts w:ascii="仿宋_GB2312" w:eastAsia="仿宋_GB2312"/>
          <w:sz w:val="32"/>
          <w:szCs w:val="32"/>
        </w:rPr>
        <w:t>,</w:t>
      </w:r>
      <w:r>
        <w:rPr>
          <w:rFonts w:hint="eastAsia" w:ascii="仿宋_GB2312" w:eastAsia="仿宋_GB2312"/>
          <w:sz w:val="32"/>
          <w:szCs w:val="32"/>
        </w:rPr>
        <w:t>主要原因是:本年科目调整，事业单位医疗单独核算，经费增加。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5.卫生健康支出(类)行政事业单位医疗(款)公务员医疗补助(项):支出决算数为0.58万元，比上年决算增加0.43万元，增长286.67%</w:t>
      </w:r>
      <w:r>
        <w:rPr>
          <w:rFonts w:ascii="仿宋_GB2312" w:eastAsia="仿宋_GB2312"/>
          <w:sz w:val="32"/>
          <w:szCs w:val="32"/>
        </w:rPr>
        <w:t>,</w:t>
      </w:r>
      <w:r>
        <w:rPr>
          <w:rFonts w:hint="eastAsia" w:ascii="仿宋_GB2312" w:eastAsia="仿宋_GB2312"/>
          <w:sz w:val="32"/>
          <w:szCs w:val="32"/>
        </w:rPr>
        <w:t>主要原因是:本年在职人员调薪，公务员医疗补助增加。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6.节能环保支出(类)环境保护管理事务(款)行政运行(项):支出决算数为212.19万元，比上年决算增加29.40万元，增长16.08%</w:t>
      </w:r>
      <w:r>
        <w:rPr>
          <w:rFonts w:ascii="仿宋_GB2312" w:eastAsia="仿宋_GB2312"/>
          <w:sz w:val="32"/>
          <w:szCs w:val="32"/>
        </w:rPr>
        <w:t>,</w:t>
      </w:r>
      <w:r>
        <w:rPr>
          <w:rFonts w:hint="eastAsia" w:ascii="仿宋_GB2312" w:eastAsia="仿宋_GB2312"/>
          <w:sz w:val="32"/>
          <w:szCs w:val="32"/>
        </w:rPr>
        <w:t>主要原因是:补发了历年绩效工资，人员经费增加。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7.住房保障支出(类)住房改革支出(款)住房公积金(项):支出决算数为17.59万元，比上年决算减少1.06万元，下降5.68%</w:t>
      </w:r>
      <w:r>
        <w:rPr>
          <w:rFonts w:ascii="仿宋_GB2312" w:eastAsia="仿宋_GB2312"/>
          <w:sz w:val="32"/>
          <w:szCs w:val="32"/>
        </w:rPr>
        <w:t>,</w:t>
      </w:r>
      <w:r>
        <w:rPr>
          <w:rFonts w:hint="eastAsia" w:ascii="仿宋_GB2312" w:eastAsia="仿宋_GB2312"/>
          <w:sz w:val="32"/>
          <w:szCs w:val="32"/>
        </w:rPr>
        <w:t>主要原因是:机构上划，人员减少，住房公积金缴费减少。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8.社会保障和就业支出(类)行政事业单位养老支出(款)机关事业单位职业年金缴费支出(项):支出决算数为0.00万元，比上年决算减少4.67万元，下降100%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9.节能环保支出(类)环境保护管理事务(款)其他环境保护管理事务支出(项):支出决算数为0.00万元，比上年决算减少30.00万元，下降100%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10.节能环保支出(类)其他节能环保支出(款)其他节能环保支出(项):支出决算数为0.00万元，比上年决算减少50.00万元，下降100%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264.63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255.66</w:t>
      </w:r>
      <w:r>
        <w:rPr>
          <w:rFonts w:hint="eastAsia" w:ascii="仿宋_GB2312" w:eastAsia="仿宋_GB2312"/>
          <w:sz w:val="32"/>
          <w:szCs w:val="32"/>
        </w:rPr>
        <w:t>万元，包括：基本工资、津贴补贴、奖金、机关事业单位基本养老保险缴费、职工基本医疗保险缴费、公务员医疗补助缴费、其他社会保障缴费、住房公积金、其他工资福利支出、退休费、奖励金。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公用经费8.97万元，包括：办公费、印刷费、电费、邮电费、差旅费、公务接待费、委托业务费、工会经费、福利费、公务用车运行维护费。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3.20</w:t>
      </w:r>
      <w:r>
        <w:rPr>
          <w:rFonts w:hint="eastAsia" w:ascii="仿宋_GB2312" w:eastAsia="仿宋_GB2312"/>
          <w:sz w:val="32"/>
          <w:szCs w:val="32"/>
        </w:rPr>
        <w:t>万元，比上年</w:t>
      </w:r>
      <w:r>
        <w:rPr>
          <w:rFonts w:ascii="仿宋_GB2312" w:eastAsia="仿宋_GB2312"/>
          <w:sz w:val="32"/>
          <w:szCs w:val="32"/>
        </w:rPr>
        <w:t>增加1.70</w:t>
      </w:r>
      <w:r>
        <w:rPr>
          <w:rFonts w:hint="eastAsia" w:ascii="仿宋_GB2312" w:eastAsia="仿宋_GB2312"/>
          <w:sz w:val="32"/>
          <w:szCs w:val="32"/>
        </w:rPr>
        <w:t>万元，</w:t>
      </w:r>
      <w:r>
        <w:rPr>
          <w:rFonts w:ascii="仿宋_GB2312" w:eastAsia="仿宋_GB2312"/>
          <w:sz w:val="32"/>
          <w:szCs w:val="32"/>
        </w:rPr>
        <w:t>增长112.58</w:t>
      </w:r>
      <w:r>
        <w:rPr>
          <w:rFonts w:hint="eastAsia" w:ascii="仿宋_GB2312" w:eastAsia="仿宋_GB2312"/>
          <w:sz w:val="32"/>
          <w:szCs w:val="32"/>
        </w:rPr>
        <w:t>%，主要原因是：</w:t>
      </w:r>
      <w:r>
        <w:rPr>
          <w:rFonts w:ascii="仿宋_GB2312" w:eastAsia="仿宋_GB2312"/>
          <w:sz w:val="32"/>
          <w:szCs w:val="32"/>
        </w:rPr>
        <w:t>车辆老化，维修费用增加</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3.08</w:t>
      </w:r>
      <w:r>
        <w:rPr>
          <w:rFonts w:hint="eastAsia" w:ascii="仿宋_GB2312" w:eastAsia="仿宋_GB2312"/>
          <w:sz w:val="32"/>
          <w:szCs w:val="32"/>
        </w:rPr>
        <w:t>万元，占</w:t>
      </w:r>
      <w:r>
        <w:rPr>
          <w:rFonts w:ascii="仿宋_GB2312" w:eastAsia="仿宋_GB2312"/>
          <w:sz w:val="32"/>
          <w:szCs w:val="32"/>
        </w:rPr>
        <w:t>96.25</w:t>
      </w:r>
      <w:r>
        <w:rPr>
          <w:rFonts w:hint="eastAsia" w:ascii="仿宋_GB2312" w:eastAsia="仿宋_GB2312"/>
          <w:sz w:val="32"/>
          <w:szCs w:val="32"/>
        </w:rPr>
        <w:t>%，比上年</w:t>
      </w:r>
      <w:r>
        <w:rPr>
          <w:rFonts w:ascii="仿宋_GB2312" w:eastAsia="仿宋_GB2312"/>
          <w:sz w:val="32"/>
          <w:szCs w:val="32"/>
        </w:rPr>
        <w:t>增加1.57</w:t>
      </w:r>
      <w:r>
        <w:rPr>
          <w:rFonts w:hint="eastAsia" w:ascii="仿宋_GB2312" w:eastAsia="仿宋_GB2312"/>
          <w:sz w:val="32"/>
          <w:szCs w:val="32"/>
        </w:rPr>
        <w:t>万元，</w:t>
      </w:r>
      <w:r>
        <w:rPr>
          <w:rFonts w:ascii="仿宋_GB2312" w:eastAsia="仿宋_GB2312"/>
          <w:sz w:val="32"/>
          <w:szCs w:val="32"/>
        </w:rPr>
        <w:t>增长103.97</w:t>
      </w:r>
      <w:r>
        <w:rPr>
          <w:rFonts w:hint="eastAsia" w:ascii="仿宋_GB2312" w:eastAsia="仿宋_GB2312"/>
          <w:sz w:val="32"/>
          <w:szCs w:val="32"/>
        </w:rPr>
        <w:t>%，主要原因是：</w:t>
      </w:r>
      <w:r>
        <w:rPr>
          <w:rFonts w:ascii="仿宋_GB2312" w:eastAsia="仿宋_GB2312"/>
          <w:sz w:val="32"/>
          <w:szCs w:val="32"/>
        </w:rPr>
        <w:t>车辆老化，维修费用增加</w:t>
      </w:r>
      <w:r>
        <w:rPr>
          <w:rFonts w:hint="eastAsia" w:ascii="仿宋_GB2312" w:eastAsia="仿宋_GB2312"/>
          <w:sz w:val="32"/>
          <w:szCs w:val="32"/>
        </w:rPr>
        <w:t>；公务接待费支出</w:t>
      </w:r>
      <w:r>
        <w:rPr>
          <w:rFonts w:ascii="仿宋_GB2312" w:eastAsia="仿宋_GB2312"/>
          <w:sz w:val="32"/>
          <w:szCs w:val="32"/>
        </w:rPr>
        <w:t>0.13</w:t>
      </w:r>
      <w:r>
        <w:rPr>
          <w:rFonts w:hint="eastAsia" w:ascii="仿宋_GB2312" w:eastAsia="仿宋_GB2312"/>
          <w:sz w:val="32"/>
          <w:szCs w:val="32"/>
        </w:rPr>
        <w:t>万元，占</w:t>
      </w:r>
      <w:r>
        <w:rPr>
          <w:rFonts w:ascii="仿宋_GB2312" w:eastAsia="仿宋_GB2312"/>
          <w:sz w:val="32"/>
          <w:szCs w:val="32"/>
        </w:rPr>
        <w:t>4.06</w:t>
      </w:r>
      <w:r>
        <w:rPr>
          <w:rFonts w:hint="eastAsia" w:ascii="仿宋_GB2312" w:eastAsia="仿宋_GB2312"/>
          <w:sz w:val="32"/>
          <w:szCs w:val="32"/>
        </w:rPr>
        <w:t>%，比上年</w:t>
      </w:r>
      <w:r>
        <w:rPr>
          <w:rFonts w:ascii="仿宋_GB2312" w:eastAsia="仿宋_GB2312"/>
          <w:sz w:val="32"/>
          <w:szCs w:val="32"/>
        </w:rPr>
        <w:t>增加0.13</w:t>
      </w:r>
      <w:r>
        <w:rPr>
          <w:rFonts w:hint="eastAsia" w:ascii="仿宋_GB2312" w:eastAsia="仿宋_GB2312"/>
          <w:sz w:val="32"/>
          <w:szCs w:val="32"/>
        </w:rPr>
        <w:t>万元，</w:t>
      </w:r>
      <w:r>
        <w:rPr>
          <w:rFonts w:ascii="仿宋_GB2312" w:eastAsia="仿宋_GB2312"/>
          <w:sz w:val="32"/>
          <w:szCs w:val="32"/>
        </w:rPr>
        <w:t>增长100.00</w:t>
      </w:r>
      <w:r>
        <w:rPr>
          <w:rFonts w:hint="eastAsia" w:ascii="仿宋_GB2312" w:eastAsia="仿宋_GB2312"/>
          <w:sz w:val="32"/>
          <w:szCs w:val="32"/>
        </w:rPr>
        <w:t>%，主要原因是：</w:t>
      </w:r>
      <w:r>
        <w:rPr>
          <w:rFonts w:ascii="仿宋_GB2312" w:eastAsia="仿宋_GB2312"/>
          <w:sz w:val="32"/>
          <w:szCs w:val="32"/>
        </w:rPr>
        <w:t>上级部门调研交流增加，接待费增加</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3.08</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3.08</w:t>
      </w:r>
      <w:r>
        <w:rPr>
          <w:rFonts w:hint="eastAsia" w:ascii="仿宋_GB2312" w:eastAsia="仿宋_GB2312"/>
          <w:sz w:val="32"/>
          <w:szCs w:val="32"/>
        </w:rPr>
        <w:t>万元。公务用车运行维护费开支内容包括车辆保险费，加油费，维修费。公务用车购置数</w:t>
      </w:r>
      <w:r>
        <w:rPr>
          <w:rFonts w:ascii="仿宋_GB2312" w:eastAsia="仿宋_GB2312"/>
          <w:sz w:val="32"/>
          <w:szCs w:val="32"/>
        </w:rPr>
        <w:t>0</w:t>
      </w:r>
      <w:r>
        <w:rPr>
          <w:rFonts w:hint="eastAsia" w:ascii="仿宋_GB2312" w:eastAsia="仿宋_GB2312"/>
          <w:sz w:val="32"/>
          <w:szCs w:val="32"/>
        </w:rPr>
        <w:t>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0.13</w:t>
      </w:r>
      <w:r>
        <w:rPr>
          <w:rFonts w:hint="eastAsia" w:ascii="仿宋_GB2312" w:eastAsia="仿宋_GB2312"/>
          <w:sz w:val="32"/>
          <w:szCs w:val="32"/>
        </w:rPr>
        <w:t>万元，开支内容包括接待上级部门调研交流工作餐费。单位全年安排的国内公务接待</w:t>
      </w:r>
      <w:r>
        <w:rPr>
          <w:rFonts w:ascii="仿宋_GB2312" w:eastAsia="仿宋_GB2312"/>
          <w:sz w:val="32"/>
          <w:szCs w:val="32"/>
        </w:rPr>
        <w:t>2</w:t>
      </w:r>
      <w:r>
        <w:rPr>
          <w:rFonts w:hint="eastAsia" w:ascii="仿宋_GB2312" w:eastAsia="仿宋_GB2312"/>
          <w:sz w:val="32"/>
          <w:szCs w:val="32"/>
        </w:rPr>
        <w:t>批次，</w:t>
      </w:r>
      <w:r>
        <w:rPr>
          <w:rFonts w:ascii="仿宋_GB2312" w:eastAsia="仿宋_GB2312"/>
          <w:sz w:val="32"/>
          <w:szCs w:val="32"/>
        </w:rPr>
        <w:t>10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与全年预算数相比情况：“三公”经费支出全年预算数3.20万元，决算数</w:t>
      </w:r>
      <w:r>
        <w:rPr>
          <w:rFonts w:ascii="仿宋_GB2312" w:eastAsia="仿宋_GB2312"/>
          <w:sz w:val="32"/>
          <w:szCs w:val="32"/>
        </w:rPr>
        <w:t>3.20</w:t>
      </w:r>
      <w:r>
        <w:rPr>
          <w:rFonts w:hint="eastAsia" w:ascii="仿宋_GB2312" w:eastAsia="仿宋_GB2312"/>
          <w:sz w:val="32"/>
          <w:szCs w:val="32"/>
        </w:rPr>
        <w:t>万元，预决算差异率0.00%，主要原因是：预算数与决算数一致。</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预算数3.08万元，决算数3.08万元，预决算差异率0.00%，主要原因是：预算数与决算数一致；</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0.13</w:t>
      </w:r>
      <w:r>
        <w:rPr>
          <w:rFonts w:hint="eastAsia" w:ascii="仿宋_GB2312" w:eastAsia="仿宋_GB2312"/>
          <w:sz w:val="32"/>
          <w:szCs w:val="32"/>
        </w:rPr>
        <w:t>万元，决算数</w:t>
      </w:r>
      <w:r>
        <w:rPr>
          <w:rFonts w:ascii="仿宋_GB2312" w:eastAsia="仿宋_GB2312"/>
          <w:sz w:val="32"/>
          <w:szCs w:val="32"/>
        </w:rPr>
        <w:t>0.13</w:t>
      </w:r>
      <w:r>
        <w:rPr>
          <w:rFonts w:hint="eastAsia" w:ascii="仿宋_GB2312" w:eastAsia="仿宋_GB2312"/>
          <w:sz w:val="32"/>
          <w:szCs w:val="32"/>
        </w:rPr>
        <w:t>万元，预决算差异率0.00%，主要原因是：预算数与决算数一致。</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2022年度新疆伊犁州生态环境局察布查尔锡伯自治县分局（行政单位和参照公务员法管理事业单位）机关运行经费支出</w:t>
      </w:r>
      <w:r>
        <w:rPr>
          <w:rFonts w:ascii="仿宋_GB2312" w:eastAsia="仿宋_GB2312"/>
          <w:sz w:val="32"/>
          <w:szCs w:val="32"/>
        </w:rPr>
        <w:t>8.97</w:t>
      </w:r>
      <w:r>
        <w:rPr>
          <w:rFonts w:hint="eastAsia" w:ascii="仿宋_GB2312" w:eastAsia="仿宋_GB2312"/>
          <w:sz w:val="32"/>
          <w:szCs w:val="32"/>
        </w:rPr>
        <w:t>万元，比上年减少75.56万元，下降89.39%，主要原因是：本年减少办公设备购置经费。</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25.80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25.80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25.80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25.80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4" w:name="_Toc4591"/>
      <w:bookmarkStart w:id="25" w:name="_Toc8391"/>
      <w:r>
        <w:rPr>
          <w:rFonts w:hint="eastAsia" w:ascii="黑体" w:hAnsi="黑体" w:eastAsia="黑体"/>
          <w:sz w:val="32"/>
          <w:szCs w:val="32"/>
        </w:rPr>
        <w:t>（三）国有资产占用情况说明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截止2022年12月31日，固定资产原值355.01万元，房屋</w:t>
      </w:r>
      <w:r>
        <w:rPr>
          <w:rFonts w:ascii="仿宋_GB2312" w:eastAsia="仿宋_GB2312"/>
          <w:sz w:val="32"/>
          <w:szCs w:val="32"/>
        </w:rPr>
        <w:t>772.00</w:t>
      </w:r>
      <w:r>
        <w:rPr>
          <w:rFonts w:hint="eastAsia" w:ascii="仿宋_GB2312" w:eastAsia="仿宋_GB2312"/>
          <w:sz w:val="32"/>
          <w:szCs w:val="32"/>
        </w:rPr>
        <w:t>平方米，价值</w:t>
      </w:r>
      <w:r>
        <w:rPr>
          <w:rFonts w:ascii="仿宋_GB2312" w:eastAsia="仿宋_GB2312"/>
          <w:sz w:val="32"/>
          <w:szCs w:val="32"/>
        </w:rPr>
        <w:t>50.00</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19.96</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6" w:name="_Toc11283"/>
      <w:bookmarkStart w:id="27" w:name="_Toc435"/>
      <w:r>
        <w:rPr>
          <w:rFonts w:hint="eastAsia" w:ascii="黑体" w:hAnsi="黑体" w:eastAsia="黑体" w:cs="宋体"/>
          <w:bCs/>
          <w:kern w:val="0"/>
          <w:sz w:val="32"/>
          <w:szCs w:val="32"/>
        </w:rPr>
        <w:t>十一、预算绩效的情况说明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0</w:t>
      </w:r>
      <w:r>
        <w:rPr>
          <w:rFonts w:hint="eastAsia" w:ascii="仿宋_GB2312" w:eastAsia="仿宋_GB2312"/>
          <w:sz w:val="32"/>
          <w:szCs w:val="32"/>
        </w:rPr>
        <w:t>个，全年预算数0.00万元，全年执行数0.00万元。预算绩效管理取得的成效：</w:t>
      </w:r>
      <w:r>
        <w:rPr>
          <w:rFonts w:ascii="仿宋_GB2312" w:eastAsia="仿宋_GB2312"/>
          <w:sz w:val="32"/>
          <w:szCs w:val="32"/>
        </w:rPr>
        <w:t>我单位无预算项目绩效自评表</w:t>
      </w:r>
      <w:r>
        <w:rPr>
          <w:rFonts w:hint="eastAsia" w:ascii="仿宋_GB2312" w:eastAsia="仿宋_GB2312"/>
          <w:sz w:val="32"/>
          <w:szCs w:val="32"/>
        </w:rPr>
        <w:t>。发现的问题及原因：</w:t>
      </w:r>
      <w:r>
        <w:rPr>
          <w:rFonts w:ascii="仿宋_GB2312" w:eastAsia="仿宋_GB2312"/>
          <w:sz w:val="32"/>
          <w:szCs w:val="32"/>
        </w:rPr>
        <w:t>我单位无预算项目绩效自评表</w:t>
      </w:r>
      <w:r>
        <w:rPr>
          <w:rFonts w:hint="eastAsia" w:ascii="仿宋_GB2312" w:eastAsia="仿宋_GB2312"/>
          <w:sz w:val="32"/>
          <w:szCs w:val="32"/>
        </w:rPr>
        <w:t>。下一步改进措施：</w:t>
      </w:r>
      <w:r>
        <w:rPr>
          <w:rFonts w:ascii="仿宋_GB2312" w:eastAsia="仿宋_GB2312"/>
          <w:sz w:val="32"/>
          <w:szCs w:val="32"/>
        </w:rPr>
        <w:t>我单位无预算项目绩效自评表</w:t>
      </w:r>
      <w:r>
        <w:rPr>
          <w:rFonts w:hint="eastAsia" w:ascii="仿宋_GB2312" w:eastAsia="仿宋_GB2312"/>
          <w:sz w:val="32"/>
          <w:szCs w:val="32"/>
        </w:rPr>
        <w:t>。</w:t>
      </w:r>
    </w:p>
    <w:p>
      <w:pPr>
        <w:widowControl/>
        <w:jc w:val="left"/>
        <w:rPr>
          <w:rFonts w:ascii="黑体" w:hAnsi="黑体" w:eastAsia="黑体"/>
          <w:sz w:val="32"/>
          <w:szCs w:val="32"/>
        </w:rPr>
      </w:pPr>
      <w:bookmarkStart w:id="28" w:name="_Toc3250"/>
      <w:bookmarkStart w:id="29" w:name="_Toc24143"/>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28"/>
      <w:bookmarkEnd w:id="29"/>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0" w:name="_Toc22784"/>
      <w:bookmarkStart w:id="31"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0"/>
      <w:bookmarkEnd w:id="31"/>
    </w:p>
    <w:p>
      <w:pPr>
        <w:ind w:firstLine="640" w:firstLineChars="200"/>
        <w:outlineLvl w:val="1"/>
        <w:rPr>
          <w:rFonts w:ascii="黑体" w:hAnsi="黑体" w:eastAsia="黑体" w:cs="宋体"/>
          <w:bCs/>
          <w:kern w:val="0"/>
          <w:sz w:val="32"/>
          <w:szCs w:val="32"/>
        </w:rPr>
      </w:pPr>
      <w:bookmarkStart w:id="32" w:name="_Toc6062"/>
      <w:bookmarkStart w:id="33" w:name="_Toc2183"/>
      <w:r>
        <w:rPr>
          <w:rFonts w:hint="eastAsia" w:ascii="黑体" w:hAnsi="黑体" w:eastAsia="黑体" w:cs="宋体"/>
          <w:bCs/>
          <w:kern w:val="0"/>
          <w:sz w:val="32"/>
          <w:szCs w:val="32"/>
        </w:rPr>
        <w:t>一、《收入支出决算总表》</w:t>
      </w:r>
      <w:bookmarkEnd w:id="32"/>
      <w:bookmarkEnd w:id="33"/>
    </w:p>
    <w:p>
      <w:pPr>
        <w:ind w:firstLine="640" w:firstLineChars="200"/>
        <w:outlineLvl w:val="1"/>
        <w:rPr>
          <w:rFonts w:ascii="黑体" w:hAnsi="黑体" w:eastAsia="黑体" w:cs="宋体"/>
          <w:bCs/>
          <w:kern w:val="0"/>
          <w:sz w:val="32"/>
          <w:szCs w:val="32"/>
        </w:rPr>
      </w:pPr>
      <w:bookmarkStart w:id="34" w:name="_Toc24532"/>
      <w:bookmarkStart w:id="35" w:name="_Toc30364"/>
      <w:r>
        <w:rPr>
          <w:rFonts w:hint="eastAsia" w:ascii="黑体" w:hAnsi="黑体" w:eastAsia="黑体" w:cs="宋体"/>
          <w:bCs/>
          <w:kern w:val="0"/>
          <w:sz w:val="32"/>
          <w:szCs w:val="32"/>
        </w:rPr>
        <w:t>二、《收入决算表》</w:t>
      </w:r>
      <w:bookmarkEnd w:id="34"/>
      <w:bookmarkEnd w:id="35"/>
    </w:p>
    <w:p>
      <w:pPr>
        <w:ind w:firstLine="640" w:firstLineChars="200"/>
        <w:outlineLvl w:val="1"/>
        <w:rPr>
          <w:rFonts w:ascii="黑体" w:hAnsi="黑体" w:eastAsia="黑体" w:cs="宋体"/>
          <w:bCs/>
          <w:kern w:val="0"/>
          <w:sz w:val="32"/>
          <w:szCs w:val="32"/>
        </w:rPr>
      </w:pPr>
      <w:bookmarkStart w:id="36" w:name="_Toc32434"/>
      <w:bookmarkStart w:id="37" w:name="_Toc21304"/>
      <w:r>
        <w:rPr>
          <w:rFonts w:hint="eastAsia" w:ascii="黑体" w:hAnsi="黑体" w:eastAsia="黑体" w:cs="宋体"/>
          <w:bCs/>
          <w:kern w:val="0"/>
          <w:sz w:val="32"/>
          <w:szCs w:val="32"/>
        </w:rPr>
        <w:t>三、《支出决算表》</w:t>
      </w:r>
      <w:bookmarkEnd w:id="36"/>
      <w:bookmarkEnd w:id="37"/>
    </w:p>
    <w:p>
      <w:pPr>
        <w:ind w:firstLine="640" w:firstLineChars="200"/>
        <w:outlineLvl w:val="1"/>
        <w:rPr>
          <w:rFonts w:ascii="黑体" w:hAnsi="黑体" w:eastAsia="黑体" w:cs="宋体"/>
          <w:bCs/>
          <w:kern w:val="0"/>
          <w:sz w:val="32"/>
          <w:szCs w:val="32"/>
        </w:rPr>
      </w:pPr>
      <w:bookmarkStart w:id="38" w:name="_Toc14238"/>
      <w:bookmarkStart w:id="39" w:name="_Toc28786"/>
      <w:r>
        <w:rPr>
          <w:rFonts w:hint="eastAsia" w:ascii="黑体" w:hAnsi="黑体" w:eastAsia="黑体" w:cs="宋体"/>
          <w:bCs/>
          <w:kern w:val="0"/>
          <w:sz w:val="32"/>
          <w:szCs w:val="32"/>
        </w:rPr>
        <w:t>四、《财政拨款收入支出决算总表》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10347"/>
      <w:bookmarkStart w:id="41" w:name="_Toc14869"/>
      <w:r>
        <w:rPr>
          <w:rFonts w:hint="eastAsia" w:ascii="黑体" w:hAnsi="黑体" w:eastAsia="黑体" w:cs="宋体"/>
          <w:bCs/>
          <w:kern w:val="0"/>
          <w:sz w:val="32"/>
          <w:szCs w:val="32"/>
        </w:rPr>
        <w:t>五、《一般公共预算财政拨款支出决算表》</w:t>
      </w:r>
      <w:bookmarkEnd w:id="40"/>
      <w:bookmarkEnd w:id="41"/>
    </w:p>
    <w:p>
      <w:pPr>
        <w:ind w:firstLine="640" w:firstLineChars="200"/>
        <w:outlineLvl w:val="1"/>
        <w:rPr>
          <w:rFonts w:ascii="黑体" w:hAnsi="黑体" w:eastAsia="黑体" w:cs="宋体"/>
          <w:bCs/>
          <w:kern w:val="0"/>
          <w:sz w:val="32"/>
          <w:szCs w:val="32"/>
        </w:rPr>
      </w:pPr>
      <w:bookmarkStart w:id="42" w:name="_Toc5626"/>
      <w:bookmarkStart w:id="43" w:name="_Toc8884"/>
      <w:r>
        <w:rPr>
          <w:rFonts w:hint="eastAsia" w:ascii="黑体" w:hAnsi="黑体" w:eastAsia="黑体" w:cs="宋体"/>
          <w:bCs/>
          <w:kern w:val="0"/>
          <w:sz w:val="32"/>
          <w:szCs w:val="32"/>
        </w:rPr>
        <w:t>六、《一般公共预算财政拨款基本支出决算表》</w:t>
      </w:r>
      <w:bookmarkEnd w:id="42"/>
      <w:bookmarkEnd w:id="4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4" w:name="_Toc32663"/>
      <w:bookmarkStart w:id="45" w:name="_Toc29106"/>
      <w:r>
        <w:rPr>
          <w:rFonts w:hint="eastAsia" w:ascii="黑体" w:hAnsi="黑体" w:eastAsia="黑体" w:cs="宋体"/>
          <w:bCs/>
          <w:kern w:val="0"/>
          <w:sz w:val="32"/>
          <w:szCs w:val="32"/>
        </w:rPr>
        <w:t>《财政拨款“三公”经费支出决算表》</w:t>
      </w:r>
      <w:bookmarkEnd w:id="44"/>
      <w:bookmarkEnd w:id="45"/>
    </w:p>
    <w:p>
      <w:pPr>
        <w:ind w:firstLine="640" w:firstLineChars="200"/>
        <w:outlineLvl w:val="1"/>
        <w:rPr>
          <w:rFonts w:ascii="黑体" w:hAnsi="黑体" w:eastAsia="黑体" w:cs="宋体"/>
          <w:bCs/>
          <w:kern w:val="0"/>
          <w:sz w:val="32"/>
          <w:szCs w:val="32"/>
        </w:rPr>
      </w:pPr>
      <w:bookmarkStart w:id="46" w:name="_Toc5453"/>
      <w:bookmarkStart w:id="47" w:name="_Toc7643"/>
      <w:r>
        <w:rPr>
          <w:rFonts w:hint="eastAsia" w:ascii="黑体" w:hAnsi="黑体" w:eastAsia="黑体" w:cs="宋体"/>
          <w:bCs/>
          <w:kern w:val="0"/>
          <w:sz w:val="32"/>
          <w:szCs w:val="32"/>
        </w:rPr>
        <w:t>八、《政府性基金预算财政拨款收入支出决算表》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YTI1ZmE5MGNmMWFhNDQ2Y2EwZDkyYjNmNDU1ODc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61B017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5</TotalTime>
  <ScaleCrop>false</ScaleCrop>
  <LinksUpToDate>false</LinksUpToDate>
  <CharactersWithSpaces>11215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2023-09-20T04:17:49Z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F97FA079818C41009ECE11C26EE014AD_13</vt:lpwstr>
  </property>
</Properties>
</file>