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新疆伊犁州察布查尔锡伯自治县</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自然资源局</w:t>
      </w:r>
    </w:p>
    <w:p>
      <w:pPr>
        <w:jc w:val="center"/>
        <w:rPr>
          <w:rFonts w:ascii="方正小标宋_GBK" w:hAnsi="宋体" w:eastAsia="方正小标宋_GBK"/>
          <w:sz w:val="44"/>
          <w:szCs w:val="44"/>
        </w:rPr>
      </w:pPr>
      <w:r>
        <w:rPr>
          <w:rFonts w:hint="eastAsia" w:ascii="方正小标宋_GBK" w:hAnsi="宋体" w:eastAsia="方正小标宋_GBK"/>
          <w:sz w:val="44"/>
          <w:szCs w:val="44"/>
        </w:rPr>
        <w:t>2022年度部门决算公开说明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rPr>
          <w:rFonts w:ascii="黑体" w:hAnsi="黑体" w:eastAsia="黑体" w:cs="宋体"/>
          <w:bCs/>
          <w:kern w:val="0"/>
          <w:sz w:val="32"/>
          <w:szCs w:val="32"/>
        </w:rPr>
      </w:pPr>
      <w:bookmarkStart w:id="4" w:name="_Toc31238"/>
      <w:bookmarkStart w:id="5" w:name="_Toc2151"/>
      <w:r>
        <w:rPr>
          <w:rFonts w:ascii="仿宋_GB2312" w:eastAsia="仿宋_GB2312"/>
          <w:sz w:val="32"/>
          <w:szCs w:val="32"/>
        </w:rPr>
        <w:t>　　（1）履行全民所有土地、矿产、森林、草原、湿地、水等自然资源资产所有者职责和所有国土空间用途管制职责。</w:t>
      </w:r>
      <w:r>
        <w:rPr>
          <w:rFonts w:ascii="仿宋_GB2312" w:eastAsia="仿宋_GB2312"/>
          <w:sz w:val="32"/>
          <w:szCs w:val="32"/>
        </w:rPr>
        <w:br w:type="textWrapping"/>
      </w:r>
      <w:r>
        <w:rPr>
          <w:rFonts w:ascii="仿宋_GB2312" w:eastAsia="仿宋_GB2312"/>
          <w:sz w:val="32"/>
          <w:szCs w:val="32"/>
        </w:rPr>
        <w:t>　　（2）负责自然资源</w:t>
      </w:r>
      <w:r>
        <w:rPr>
          <w:rFonts w:hint="eastAsia" w:ascii="仿宋_GB2312" w:eastAsia="仿宋_GB2312"/>
          <w:sz w:val="32"/>
          <w:szCs w:val="32"/>
          <w:lang w:eastAsia="zh-CN"/>
        </w:rPr>
        <w:t>调查</w:t>
      </w:r>
      <w:bookmarkStart w:id="48" w:name="_GoBack"/>
      <w:bookmarkEnd w:id="48"/>
      <w:r>
        <w:rPr>
          <w:rFonts w:ascii="仿宋_GB2312" w:eastAsia="仿宋_GB2312"/>
          <w:sz w:val="32"/>
          <w:szCs w:val="32"/>
        </w:rPr>
        <w:t>监测评价。贯彻执行国家自然资源</w:t>
      </w:r>
      <w:r>
        <w:rPr>
          <w:rFonts w:hint="eastAsia" w:ascii="仿宋_GB2312" w:eastAsia="仿宋_GB2312"/>
          <w:sz w:val="32"/>
          <w:szCs w:val="32"/>
          <w:lang w:eastAsia="zh-CN"/>
        </w:rPr>
        <w:t>调查</w:t>
      </w:r>
      <w:r>
        <w:rPr>
          <w:rFonts w:ascii="仿宋_GB2312" w:eastAsia="仿宋_GB2312"/>
          <w:sz w:val="32"/>
          <w:szCs w:val="32"/>
        </w:rPr>
        <w:t>监测评价的指标体系和统计标准，建立统一规范的自然资源调查监测评价制度。</w:t>
      </w:r>
      <w:r>
        <w:rPr>
          <w:rFonts w:ascii="仿宋_GB2312" w:eastAsia="仿宋_GB2312"/>
          <w:sz w:val="32"/>
          <w:szCs w:val="32"/>
        </w:rPr>
        <w:br w:type="textWrapping"/>
      </w:r>
      <w:r>
        <w:rPr>
          <w:rFonts w:ascii="仿宋_GB2312" w:eastAsia="仿宋_GB2312"/>
          <w:sz w:val="32"/>
          <w:szCs w:val="32"/>
        </w:rPr>
        <w:t>　　（3）负责自然资源统一确权登记工作。贯彻执行国家各类自然资源和不动产统一确权登记、权属</w:t>
      </w:r>
      <w:r>
        <w:rPr>
          <w:rFonts w:hint="eastAsia" w:ascii="仿宋_GB2312" w:eastAsia="仿宋_GB2312"/>
          <w:sz w:val="32"/>
          <w:szCs w:val="32"/>
          <w:lang w:eastAsia="zh-CN"/>
        </w:rPr>
        <w:t>调查</w:t>
      </w:r>
      <w:r>
        <w:rPr>
          <w:rFonts w:ascii="仿宋_GB2312" w:eastAsia="仿宋_GB2312"/>
          <w:sz w:val="32"/>
          <w:szCs w:val="32"/>
        </w:rPr>
        <w:t>、不动产测绘、争议调处。建立健全自然资源和不动产登记信息管理基础</w:t>
      </w:r>
      <w:r>
        <w:rPr>
          <w:rFonts w:hint="eastAsia" w:ascii="仿宋_GB2312" w:eastAsia="仿宋_GB2312"/>
          <w:sz w:val="32"/>
          <w:szCs w:val="32"/>
          <w:lang w:eastAsia="zh-CN"/>
        </w:rPr>
        <w:t>平台</w:t>
      </w:r>
      <w:r>
        <w:rPr>
          <w:rFonts w:ascii="仿宋_GB2312" w:eastAsia="仿宋_GB2312"/>
          <w:sz w:val="32"/>
          <w:szCs w:val="32"/>
        </w:rPr>
        <w:t>。负责自然资源和不动产登记资料收集、整理、汇交管理等。</w:t>
      </w:r>
      <w:r>
        <w:rPr>
          <w:rFonts w:ascii="仿宋_GB2312" w:eastAsia="仿宋_GB2312"/>
          <w:sz w:val="32"/>
          <w:szCs w:val="32"/>
        </w:rPr>
        <w:br w:type="textWrapping"/>
      </w:r>
      <w:r>
        <w:rPr>
          <w:rFonts w:ascii="仿宋_GB2312" w:eastAsia="仿宋_GB2312"/>
          <w:sz w:val="32"/>
          <w:szCs w:val="32"/>
        </w:rPr>
        <w:t>　　（4）负责自然资源资产有偿使用工作。贯彻执行国家全民所有自然资源资产统计制度，负责自治县全民所有自然资源资产核算。</w:t>
      </w:r>
      <w:r>
        <w:rPr>
          <w:rFonts w:ascii="仿宋_GB2312" w:eastAsia="仿宋_GB2312"/>
          <w:sz w:val="32"/>
          <w:szCs w:val="32"/>
        </w:rPr>
        <w:br w:type="textWrapping"/>
      </w:r>
      <w:r>
        <w:rPr>
          <w:rFonts w:ascii="仿宋_GB2312" w:eastAsia="仿宋_GB2312"/>
          <w:sz w:val="32"/>
          <w:szCs w:val="32"/>
        </w:rPr>
        <w:t>（5)负责自然资源的合理开发利用。执行国家、自治区自然资源开发利用标准，组织实施自然资源发展规划，建立或府示自然资源价格体系，拟定组织实施自治县有关土地使用权出让、租赁、作价出资、转让等管理办法，指导基准地价、标定地价评测。</w:t>
      </w:r>
      <w:r>
        <w:rPr>
          <w:rFonts w:ascii="仿宋_GB2312" w:eastAsia="仿宋_GB2312"/>
          <w:sz w:val="32"/>
          <w:szCs w:val="32"/>
        </w:rPr>
        <w:br w:type="textWrapping"/>
      </w:r>
      <w:r>
        <w:rPr>
          <w:rFonts w:ascii="仿宋_GB2312" w:eastAsia="仿宋_GB2312"/>
          <w:sz w:val="32"/>
          <w:szCs w:val="32"/>
        </w:rPr>
        <w:t>　　（6）负责建立空间规划体系并监督实施。推进自治县主体功能区战略和制度，组织编制并监督实施国土空间规划和相关专项规划。</w:t>
      </w:r>
      <w:r>
        <w:rPr>
          <w:rFonts w:ascii="仿宋_GB2312" w:eastAsia="仿宋_GB2312"/>
          <w:sz w:val="32"/>
          <w:szCs w:val="32"/>
        </w:rPr>
        <w:br w:type="textWrapping"/>
      </w:r>
      <w:r>
        <w:rPr>
          <w:rFonts w:ascii="仿宋_GB2312" w:eastAsia="仿宋_GB2312"/>
          <w:sz w:val="32"/>
          <w:szCs w:val="32"/>
        </w:rPr>
        <w:t>　　（7）负责统筹国土空间生态修复。牵头组织编制自治县国土空间生态修复规划并配合实施有关</w:t>
      </w:r>
      <w:r>
        <w:rPr>
          <w:rFonts w:hint="eastAsia" w:ascii="仿宋_GB2312" w:eastAsia="仿宋_GB2312"/>
          <w:sz w:val="32"/>
          <w:szCs w:val="32"/>
          <w:lang w:eastAsia="zh-CN"/>
        </w:rPr>
        <w:t>生态</w:t>
      </w:r>
      <w:r>
        <w:rPr>
          <w:rFonts w:ascii="仿宋_GB2312" w:eastAsia="仿宋_GB2312"/>
          <w:sz w:val="32"/>
          <w:szCs w:val="32"/>
        </w:rPr>
        <w:t>修复重大工程。</w:t>
      </w:r>
      <w:r>
        <w:rPr>
          <w:rFonts w:ascii="仿宋_GB2312" w:eastAsia="仿宋_GB2312"/>
          <w:sz w:val="32"/>
          <w:szCs w:val="32"/>
        </w:rPr>
        <w:br w:type="textWrapping"/>
      </w:r>
      <w:r>
        <w:rPr>
          <w:rFonts w:ascii="仿宋_GB2312" w:eastAsia="仿宋_GB2312"/>
          <w:sz w:val="32"/>
          <w:szCs w:val="32"/>
        </w:rPr>
        <w:t>　　（8）承担自治县耕地保护责任，确保规划确定的耕地保有量和基本农田面积不减少、生态保护。组织实施自治县耕地保护责任目标考核和永久基本农田特殊保护，实行土地用途管理;指导未利用土地开发工作。</w:t>
      </w:r>
      <w:r>
        <w:rPr>
          <w:rFonts w:ascii="仿宋_GB2312" w:eastAsia="仿宋_GB2312"/>
          <w:sz w:val="32"/>
          <w:szCs w:val="32"/>
        </w:rPr>
        <w:br w:type="textWrapping"/>
      </w:r>
      <w:r>
        <w:rPr>
          <w:rFonts w:ascii="仿宋_GB2312" w:eastAsia="仿宋_GB2312"/>
          <w:sz w:val="32"/>
          <w:szCs w:val="32"/>
        </w:rPr>
        <w:t>　　（9）统一指导、监督管理自治县乡镇地籍等自然资源管理工作，负责土地调查统计、定级、登记、发证、年检</w:t>
      </w:r>
      <w:r>
        <w:rPr>
          <w:rFonts w:hint="eastAsia" w:ascii="仿宋_GB2312" w:eastAsia="仿宋_GB2312"/>
          <w:sz w:val="32"/>
          <w:szCs w:val="32"/>
          <w:lang w:eastAsia="zh-CN"/>
        </w:rPr>
        <w:t>和</w:t>
      </w:r>
      <w:r>
        <w:rPr>
          <w:rFonts w:ascii="仿宋_GB2312" w:eastAsia="仿宋_GB2312"/>
          <w:sz w:val="32"/>
          <w:szCs w:val="32"/>
        </w:rPr>
        <w:t>地确权勘界工作;负责临时用地的审批;负责农村集体建设用地、建设用地划拨、出让、建设用地预申请和划拨土地使用权处置的审核、报批工作。</w:t>
      </w:r>
      <w:r>
        <w:rPr>
          <w:rFonts w:ascii="仿宋_GB2312" w:eastAsia="仿宋_GB2312"/>
          <w:sz w:val="32"/>
          <w:szCs w:val="32"/>
        </w:rPr>
        <w:br w:type="textWrapping"/>
      </w:r>
      <w:r>
        <w:rPr>
          <w:rFonts w:ascii="仿宋_GB2312" w:eastAsia="仿宋_GB2312"/>
          <w:sz w:val="32"/>
          <w:szCs w:val="32"/>
        </w:rPr>
        <w:t>　　（10）负责矿产资源管理工作。依法呈报和审批权限内矿产资源探矿、采矿的审批登记发证和转让审批登记。</w:t>
      </w:r>
      <w:r>
        <w:rPr>
          <w:rFonts w:ascii="仿宋_GB2312" w:eastAsia="仿宋_GB2312"/>
          <w:sz w:val="32"/>
          <w:szCs w:val="32"/>
        </w:rPr>
        <w:br w:type="textWrapping"/>
      </w:r>
      <w:r>
        <w:rPr>
          <w:rFonts w:ascii="仿宋_GB2312" w:eastAsia="仿宋_GB2312"/>
          <w:sz w:val="32"/>
          <w:szCs w:val="32"/>
        </w:rPr>
        <w:t>　　（11）负责管理地质勘查行业和地质工作。编制自治县地质勘查规划并执行。</w:t>
      </w:r>
      <w:r>
        <w:rPr>
          <w:rFonts w:ascii="仿宋_GB2312" w:eastAsia="仿宋_GB2312"/>
          <w:sz w:val="32"/>
          <w:szCs w:val="32"/>
        </w:rPr>
        <w:br w:type="textWrapping"/>
      </w:r>
      <w:r>
        <w:rPr>
          <w:rFonts w:ascii="仿宋_GB2312" w:eastAsia="仿宋_GB2312"/>
          <w:sz w:val="32"/>
          <w:szCs w:val="32"/>
        </w:rPr>
        <w:t>　　（12）负责落实地质灾害防灾减灾规划相关要求，组织编制自治县地质灾害防治规划、防治方案并指导实施。组织协调开展自治县地质灾害调查评价及隐患的</w:t>
      </w:r>
      <w:r>
        <w:rPr>
          <w:rFonts w:hint="eastAsia" w:ascii="仿宋_GB2312" w:eastAsia="仿宋_GB2312"/>
          <w:sz w:val="32"/>
          <w:szCs w:val="32"/>
          <w:lang w:eastAsia="zh-CN"/>
        </w:rPr>
        <w:t>普查</w:t>
      </w:r>
      <w:r>
        <w:rPr>
          <w:rFonts w:ascii="仿宋_GB2312" w:eastAsia="仿宋_GB2312"/>
          <w:sz w:val="32"/>
          <w:szCs w:val="32"/>
        </w:rPr>
        <w:t>、详查、排查。</w:t>
      </w:r>
      <w:r>
        <w:rPr>
          <w:rFonts w:ascii="仿宋_GB2312" w:eastAsia="仿宋_GB2312"/>
          <w:sz w:val="32"/>
          <w:szCs w:val="32"/>
        </w:rPr>
        <w:br w:type="textWrapping"/>
      </w:r>
      <w:r>
        <w:rPr>
          <w:rFonts w:ascii="仿宋_GB2312" w:eastAsia="仿宋_GB2312"/>
          <w:sz w:val="32"/>
          <w:szCs w:val="32"/>
        </w:rPr>
        <w:t>　　（13）负责测绘地理信息管理工作。负责自治县基础测绘和测绘行业管理。负责测绘资质资格与信用管理，监督管理地理信息安全和市场秩序。</w:t>
      </w:r>
      <w:r>
        <w:rPr>
          <w:rFonts w:ascii="仿宋_GB2312" w:eastAsia="仿宋_GB2312"/>
          <w:sz w:val="32"/>
          <w:szCs w:val="32"/>
        </w:rPr>
        <w:br w:type="textWrapping"/>
      </w:r>
      <w:r>
        <w:rPr>
          <w:rFonts w:ascii="仿宋_GB2312" w:eastAsia="仿宋_GB2312"/>
          <w:sz w:val="32"/>
          <w:szCs w:val="32"/>
        </w:rPr>
        <w:t>　　（14）监督检查各乡（镇）场自然资源专项规划的执行情况，依法保护自然资源所有者和使用者的合法权益，调处权属纠纷，查处自然资源开发利用和国土空间规划及测绘违法案件。</w:t>
      </w:r>
      <w:r>
        <w:rPr>
          <w:rFonts w:ascii="仿宋_GB2312" w:eastAsia="仿宋_GB2312"/>
          <w:sz w:val="32"/>
          <w:szCs w:val="32"/>
        </w:rPr>
        <w:br w:type="textWrapping"/>
      </w:r>
      <w:r>
        <w:rPr>
          <w:rFonts w:ascii="仿宋_GB2312" w:eastAsia="仿宋_GB2312"/>
          <w:sz w:val="32"/>
          <w:szCs w:val="32"/>
        </w:rPr>
        <w:t>　　（15）完成县委、县人民政府交办</w:t>
      </w:r>
      <w:r>
        <w:rPr>
          <w:rFonts w:hint="eastAsia" w:ascii="仿宋_GB2312" w:eastAsia="仿宋_GB2312"/>
          <w:sz w:val="32"/>
          <w:szCs w:val="32"/>
          <w:lang w:eastAsia="zh-CN"/>
        </w:rPr>
        <w:t>的其他</w:t>
      </w:r>
      <w:r>
        <w:rPr>
          <w:rFonts w:ascii="仿宋_GB2312" w:eastAsia="仿宋_GB2312"/>
          <w:sz w:val="32"/>
          <w:szCs w:val="32"/>
        </w:rPr>
        <w:t>任务</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ascii="仿宋_GB2312" w:eastAsia="仿宋_GB2312"/>
          <w:sz w:val="32"/>
          <w:szCs w:val="32"/>
        </w:rPr>
      </w:pPr>
      <w:r>
        <w:rPr>
          <w:rFonts w:hint="eastAsia" w:ascii="仿宋_GB2312" w:eastAsia="仿宋_GB2312"/>
          <w:sz w:val="32"/>
          <w:szCs w:val="32"/>
        </w:rPr>
        <w:t>新疆伊犁州察布查尔锡伯自治县自然资源局</w:t>
      </w:r>
      <w:r>
        <w:rPr>
          <w:rFonts w:ascii="仿宋_GB2312" w:eastAsia="仿宋_GB2312"/>
          <w:sz w:val="32"/>
          <w:szCs w:val="32"/>
        </w:rPr>
        <w:t>2022</w:t>
      </w:r>
      <w:r>
        <w:rPr>
          <w:rFonts w:hint="eastAsia" w:ascii="仿宋_GB2312" w:eastAsia="仿宋_GB2312"/>
          <w:sz w:val="32"/>
          <w:szCs w:val="32"/>
        </w:rPr>
        <w:t>年度，实有人数</w:t>
      </w:r>
      <w:r>
        <w:rPr>
          <w:rFonts w:ascii="仿宋_GB2312" w:eastAsia="仿宋_GB2312"/>
          <w:sz w:val="32"/>
          <w:szCs w:val="32"/>
        </w:rPr>
        <w:t>67</w:t>
      </w:r>
      <w:r>
        <w:rPr>
          <w:rFonts w:hint="eastAsia" w:ascii="仿宋_GB2312" w:eastAsia="仿宋_GB2312"/>
          <w:sz w:val="32"/>
          <w:szCs w:val="32"/>
        </w:rPr>
        <w:t>人，其中：在职人员</w:t>
      </w:r>
      <w:r>
        <w:rPr>
          <w:rFonts w:ascii="仿宋_GB2312" w:eastAsia="仿宋_GB2312"/>
          <w:sz w:val="32"/>
          <w:szCs w:val="32"/>
        </w:rPr>
        <w:t>34</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33</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从部门决算单位构成看，新疆伊犁州察布查尔锡伯自治县自然资源局部门决算包括：新疆伊犁州察布查尔锡伯自治县自然资源局决算。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11</w:t>
      </w:r>
      <w:r>
        <w:rPr>
          <w:rFonts w:hint="eastAsia" w:ascii="仿宋_GB2312" w:hAnsi="黑体" w:eastAsia="仿宋_GB2312" w:cs="宋体"/>
          <w:bCs/>
          <w:kern w:val="0"/>
          <w:sz w:val="32"/>
          <w:szCs w:val="32"/>
        </w:rPr>
        <w:t>个处室，分别是：行政办、计财科、土地利用科、耕地保护科、执法监察矿管科、规划办、保卫科、信访科、纪检监察室、综合档案室、不动产登记中心</w:t>
      </w:r>
      <w:r>
        <w:rPr>
          <w:rFonts w:hint="eastAsia" w:ascii="仿宋_GB2312" w:hAnsi="宋体" w:eastAsia="仿宋_GB2312" w:cs="宋体"/>
          <w:kern w:val="0"/>
          <w:sz w:val="32"/>
          <w:szCs w:val="32"/>
        </w:rPr>
        <w:t>。</w:t>
      </w:r>
    </w:p>
    <w:p>
      <w:pPr>
        <w:ind w:firstLine="640" w:firstLineChars="200"/>
        <w:jc w:val="center"/>
        <w:outlineLvl w:val="0"/>
        <w:rPr>
          <w:rFonts w:ascii="黑体" w:hAnsi="黑体" w:eastAsia="黑体"/>
          <w:sz w:val="32"/>
          <w:szCs w:val="32"/>
        </w:rPr>
      </w:pPr>
      <w:bookmarkStart w:id="6" w:name="_Toc3092"/>
      <w:bookmarkStart w:id="7" w:name="_Toc29374"/>
      <w:r>
        <w:rPr>
          <w:rFonts w:hint="eastAsia" w:ascii="黑体" w:hAnsi="黑体" w:eastAsia="黑体"/>
          <w:sz w:val="32"/>
          <w:szCs w:val="32"/>
        </w:rPr>
        <w:br w:type="page"/>
      </w:r>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年度收入总计5,637.37万元，其中：本年收入合计</w:t>
      </w:r>
      <w:r>
        <w:rPr>
          <w:rFonts w:ascii="仿宋_GB2312" w:eastAsia="仿宋_GB2312"/>
          <w:sz w:val="32"/>
          <w:szCs w:val="32"/>
        </w:rPr>
        <w:t>5,637.37</w:t>
      </w:r>
      <w:r>
        <w:rPr>
          <w:rFonts w:hint="eastAsia" w:ascii="仿宋_GB2312" w:eastAsia="仿宋_GB2312"/>
          <w:sz w:val="32"/>
          <w:szCs w:val="32"/>
        </w:rPr>
        <w:t>万元，使用非财政拨款结余0.00万元，年初结转和结余0.00万元。收入总计与上年相比，减少2,630.99万元，</w:t>
      </w:r>
      <w:r>
        <w:rPr>
          <w:rFonts w:ascii="仿宋_GB2312" w:eastAsia="仿宋_GB2312"/>
          <w:sz w:val="32"/>
          <w:szCs w:val="32"/>
        </w:rPr>
        <w:t>下降31.82</w:t>
      </w:r>
      <w:r>
        <w:rPr>
          <w:rFonts w:hint="eastAsia" w:ascii="仿宋_GB2312" w:eastAsia="仿宋_GB2312"/>
          <w:sz w:val="32"/>
          <w:szCs w:val="32"/>
        </w:rPr>
        <w:t>%，主要原因是：本年提质改造项目进入收尾阶段，项目经费减少。</w:t>
      </w:r>
    </w:p>
    <w:p>
      <w:pPr>
        <w:ind w:firstLine="640" w:firstLineChars="200"/>
        <w:rPr>
          <w:rFonts w:ascii="仿宋_GB2312" w:eastAsia="仿宋_GB2312"/>
          <w:sz w:val="32"/>
          <w:szCs w:val="32"/>
        </w:rPr>
      </w:pPr>
      <w:r>
        <w:rPr>
          <w:rFonts w:hint="eastAsia" w:ascii="仿宋_GB2312" w:eastAsia="仿宋_GB2312"/>
          <w:sz w:val="32"/>
          <w:szCs w:val="32"/>
        </w:rPr>
        <w:t>本年支出总计5,637.37万元，其中：本年支出合计</w:t>
      </w:r>
      <w:r>
        <w:rPr>
          <w:rFonts w:ascii="仿宋_GB2312" w:eastAsia="仿宋_GB2312"/>
          <w:sz w:val="32"/>
          <w:szCs w:val="32"/>
        </w:rPr>
        <w:t>5,637.37</w:t>
      </w:r>
      <w:r>
        <w:rPr>
          <w:rFonts w:hint="eastAsia" w:ascii="仿宋_GB2312" w:eastAsia="仿宋_GB2312"/>
          <w:sz w:val="32"/>
          <w:szCs w:val="32"/>
        </w:rPr>
        <w:t>万元，结余分配0.00万元，年末结转和结余0.00万元。支出总计与上年相比，</w:t>
      </w:r>
      <w:r>
        <w:rPr>
          <w:rFonts w:ascii="仿宋_GB2312" w:eastAsia="仿宋_GB2312"/>
          <w:sz w:val="32"/>
          <w:szCs w:val="32"/>
        </w:rPr>
        <w:t>减少2,630.99</w:t>
      </w:r>
      <w:r>
        <w:rPr>
          <w:rFonts w:hint="eastAsia" w:ascii="仿宋_GB2312" w:eastAsia="仿宋_GB2312"/>
          <w:sz w:val="32"/>
          <w:szCs w:val="32"/>
        </w:rPr>
        <w:t>万元，</w:t>
      </w:r>
      <w:r>
        <w:rPr>
          <w:rFonts w:ascii="仿宋_GB2312" w:eastAsia="仿宋_GB2312"/>
          <w:sz w:val="32"/>
          <w:szCs w:val="32"/>
        </w:rPr>
        <w:t>下降31.82</w:t>
      </w:r>
      <w:r>
        <w:rPr>
          <w:rFonts w:hint="eastAsia" w:ascii="仿宋_GB2312" w:eastAsia="仿宋_GB2312"/>
          <w:sz w:val="32"/>
          <w:szCs w:val="32"/>
        </w:rPr>
        <w:t>%，主要原因是：本年提质改造项目进入收尾阶段，项目经费减少。</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年度本年收入</w:t>
      </w:r>
      <w:r>
        <w:rPr>
          <w:rFonts w:ascii="仿宋_GB2312" w:eastAsia="仿宋_GB2312"/>
          <w:sz w:val="32"/>
          <w:szCs w:val="32"/>
        </w:rPr>
        <w:t>5,637.37</w:t>
      </w:r>
      <w:r>
        <w:rPr>
          <w:rFonts w:hint="eastAsia" w:ascii="仿宋_GB2312" w:eastAsia="仿宋_GB2312"/>
          <w:sz w:val="32"/>
          <w:szCs w:val="32"/>
        </w:rPr>
        <w:t>万元，其中：财政拨款收入</w:t>
      </w:r>
      <w:r>
        <w:rPr>
          <w:rFonts w:ascii="仿宋_GB2312" w:eastAsia="仿宋_GB2312"/>
          <w:sz w:val="32"/>
          <w:szCs w:val="32"/>
        </w:rPr>
        <w:t>5,422.91</w:t>
      </w:r>
      <w:r>
        <w:rPr>
          <w:rFonts w:hint="eastAsia" w:ascii="仿宋_GB2312" w:eastAsia="仿宋_GB2312"/>
          <w:sz w:val="32"/>
          <w:szCs w:val="32"/>
        </w:rPr>
        <w:t>万元，占96.20%；上级补助收入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214.46</w:t>
      </w:r>
      <w:r>
        <w:rPr>
          <w:rFonts w:hint="eastAsia" w:ascii="仿宋_GB2312" w:eastAsia="仿宋_GB2312"/>
          <w:sz w:val="32"/>
          <w:szCs w:val="32"/>
        </w:rPr>
        <w:t>万元，占3.80%。</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年度本年支出5,637.37万元，其中：基本支出</w:t>
      </w:r>
      <w:r>
        <w:rPr>
          <w:rFonts w:ascii="仿宋_GB2312" w:eastAsia="仿宋_GB2312"/>
          <w:sz w:val="32"/>
          <w:szCs w:val="32"/>
        </w:rPr>
        <w:t>4,461.37</w:t>
      </w:r>
      <w:r>
        <w:rPr>
          <w:rFonts w:hint="eastAsia" w:ascii="仿宋_GB2312" w:eastAsia="仿宋_GB2312"/>
          <w:sz w:val="32"/>
          <w:szCs w:val="32"/>
        </w:rPr>
        <w:t>万元，占79.14%；项目支出</w:t>
      </w:r>
      <w:r>
        <w:rPr>
          <w:rFonts w:ascii="仿宋_GB2312" w:eastAsia="仿宋_GB2312"/>
          <w:sz w:val="32"/>
          <w:szCs w:val="32"/>
        </w:rPr>
        <w:t>1,176.00</w:t>
      </w:r>
      <w:r>
        <w:rPr>
          <w:rFonts w:hint="eastAsia" w:ascii="仿宋_GB2312" w:eastAsia="仿宋_GB2312"/>
          <w:sz w:val="32"/>
          <w:szCs w:val="32"/>
        </w:rPr>
        <w:t>万元，占20.86%；上缴上级支出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财政拨款收入总计5,422.91万元，其中：年初财政拨款结转和结余0.00万元，财政拨款本年收入5,422.91万元。财政拨款收入总计与上年相比，减少2,811.75万元，下降34.15%，主要原因是：本年提质改造项目进入收尾阶段，项目经费减少。</w:t>
      </w:r>
    </w:p>
    <w:p>
      <w:pPr>
        <w:ind w:firstLine="640" w:firstLineChars="200"/>
        <w:rPr>
          <w:rFonts w:ascii="仿宋_GB2312" w:eastAsia="仿宋_GB2312"/>
          <w:sz w:val="32"/>
          <w:szCs w:val="32"/>
        </w:rPr>
      </w:pPr>
      <w:r>
        <w:rPr>
          <w:rFonts w:hint="eastAsia" w:ascii="仿宋_GB2312" w:eastAsia="仿宋_GB2312"/>
          <w:sz w:val="32"/>
          <w:szCs w:val="32"/>
        </w:rPr>
        <w:t>财政拨款支出总计5,422.91万元，其中：年末财政拨款结转和结余0.00万元，财政拨款本年支出5,422.91万元。财政拨款支出总计与上年相比，减少2,811.75万元，下降34.15%，主要原因是：本年提质改造项目进入收尾阶段，项目经费减少。</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与年初预算数相比情况：财政拨款收入总计年初预算数</w:t>
      </w:r>
      <w:r>
        <w:rPr>
          <w:rFonts w:ascii="仿宋_GB2312" w:eastAsia="仿宋_GB2312"/>
          <w:sz w:val="32"/>
          <w:szCs w:val="32"/>
        </w:rPr>
        <w:t>439.00</w:t>
      </w:r>
      <w:r>
        <w:rPr>
          <w:rFonts w:hint="eastAsia" w:ascii="仿宋_GB2312" w:eastAsia="仿宋_GB2312"/>
          <w:sz w:val="32"/>
          <w:szCs w:val="32"/>
        </w:rPr>
        <w:t>万元，决算数</w:t>
      </w:r>
      <w:r>
        <w:rPr>
          <w:rFonts w:ascii="仿宋_GB2312" w:eastAsia="仿宋_GB2312"/>
          <w:sz w:val="32"/>
          <w:szCs w:val="32"/>
        </w:rPr>
        <w:t>5,422.91</w:t>
      </w:r>
      <w:r>
        <w:rPr>
          <w:rFonts w:hint="eastAsia" w:ascii="仿宋_GB2312" w:eastAsia="仿宋_GB2312"/>
          <w:sz w:val="32"/>
          <w:szCs w:val="32"/>
        </w:rPr>
        <w:t>万元，预决算差异率</w:t>
      </w:r>
      <w:r>
        <w:rPr>
          <w:rFonts w:ascii="仿宋_GB2312" w:eastAsia="仿宋_GB2312"/>
          <w:sz w:val="32"/>
          <w:szCs w:val="32"/>
        </w:rPr>
        <w:t>1,135.29</w:t>
      </w:r>
      <w:r>
        <w:rPr>
          <w:rFonts w:hint="eastAsia" w:ascii="仿宋_GB2312" w:eastAsia="仿宋_GB2312"/>
          <w:sz w:val="32"/>
          <w:szCs w:val="32"/>
        </w:rPr>
        <w:t>%，主要原因是：年初未安排项目经费，年中追加提质改造项目、征地补偿费项目经费。财政拨款支出总计年初预算数</w:t>
      </w:r>
      <w:r>
        <w:rPr>
          <w:rFonts w:ascii="仿宋_GB2312" w:eastAsia="仿宋_GB2312"/>
          <w:sz w:val="32"/>
          <w:szCs w:val="32"/>
        </w:rPr>
        <w:t>439.00</w:t>
      </w:r>
      <w:r>
        <w:rPr>
          <w:rFonts w:hint="eastAsia" w:ascii="仿宋_GB2312" w:eastAsia="仿宋_GB2312"/>
          <w:sz w:val="32"/>
          <w:szCs w:val="32"/>
        </w:rPr>
        <w:t>万元，决算数</w:t>
      </w:r>
      <w:r>
        <w:rPr>
          <w:rFonts w:ascii="仿宋_GB2312" w:eastAsia="仿宋_GB2312"/>
          <w:sz w:val="32"/>
          <w:szCs w:val="32"/>
        </w:rPr>
        <w:t>5,422.91</w:t>
      </w:r>
      <w:r>
        <w:rPr>
          <w:rFonts w:hint="eastAsia" w:ascii="仿宋_GB2312" w:eastAsia="仿宋_GB2312"/>
          <w:sz w:val="32"/>
          <w:szCs w:val="32"/>
        </w:rPr>
        <w:t>万元，预决算差异率1,135.29%，主要原因是：年初未安排项目经费，年中追加提质改造项目、征地补偿费项目经费。</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年度一般公共预算财政拨款支出4,868.15万元，占本年支出合计的</w:t>
      </w:r>
      <w:r>
        <w:rPr>
          <w:rFonts w:ascii="仿宋_GB2312" w:eastAsia="仿宋_GB2312"/>
          <w:sz w:val="32"/>
          <w:szCs w:val="32"/>
        </w:rPr>
        <w:t>86.35</w:t>
      </w:r>
      <w:r>
        <w:rPr>
          <w:rFonts w:hint="eastAsia" w:ascii="仿宋_GB2312" w:eastAsia="仿宋_GB2312"/>
          <w:sz w:val="32"/>
          <w:szCs w:val="32"/>
        </w:rPr>
        <w:t>%，与上年相比，</w:t>
      </w:r>
      <w:r>
        <w:rPr>
          <w:rFonts w:ascii="仿宋_GB2312" w:eastAsia="仿宋_GB2312"/>
          <w:sz w:val="32"/>
          <w:szCs w:val="32"/>
        </w:rPr>
        <w:t>增加419.10</w:t>
      </w:r>
      <w:r>
        <w:rPr>
          <w:rFonts w:hint="eastAsia" w:ascii="仿宋_GB2312" w:eastAsia="仿宋_GB2312"/>
          <w:sz w:val="32"/>
          <w:szCs w:val="32"/>
        </w:rPr>
        <w:t>万元，</w:t>
      </w:r>
      <w:r>
        <w:rPr>
          <w:rFonts w:ascii="仿宋_GB2312" w:eastAsia="仿宋_GB2312"/>
          <w:sz w:val="32"/>
          <w:szCs w:val="32"/>
        </w:rPr>
        <w:t>增长9.42</w:t>
      </w:r>
      <w:r>
        <w:rPr>
          <w:rFonts w:hint="eastAsia" w:ascii="仿宋_GB2312" w:eastAsia="仿宋_GB2312"/>
          <w:sz w:val="32"/>
          <w:szCs w:val="32"/>
        </w:rPr>
        <w:t>%，主要原因是：本年在职人员工资调薪，工资、社保、公积金等相关人员经费增加。</w:t>
      </w:r>
    </w:p>
    <w:p>
      <w:pPr>
        <w:ind w:firstLine="640" w:firstLineChars="200"/>
        <w:outlineLvl w:val="2"/>
        <w:rPr>
          <w:rFonts w:ascii="黑体" w:hAnsi="黑体" w:eastAsia="黑体"/>
          <w:sz w:val="32"/>
          <w:szCs w:val="32"/>
        </w:rPr>
      </w:pPr>
      <w:r>
        <w:rPr>
          <w:rFonts w:hint="eastAsia" w:ascii="黑体" w:hAnsi="黑体" w:eastAsia="黑体"/>
          <w:sz w:val="32"/>
          <w:szCs w:val="32"/>
        </w:rPr>
        <w:t>（二）一般公共预算财政拨款支出决算结构情况</w:t>
      </w:r>
    </w:p>
    <w:p>
      <w:pPr>
        <w:ind w:firstLine="640" w:firstLineChars="200"/>
        <w:rPr>
          <w:rFonts w:ascii="黑体" w:hAnsi="黑体" w:eastAsia="黑体"/>
          <w:sz w:val="32"/>
          <w:szCs w:val="32"/>
        </w:rPr>
      </w:pPr>
      <w:r>
        <w:rPr>
          <w:rFonts w:hint="eastAsia" w:ascii="仿宋_GB2312" w:eastAsia="仿宋_GB2312"/>
          <w:sz w:val="32"/>
          <w:szCs w:val="32"/>
        </w:rPr>
        <w:t>1.社会保障和就业支出(类)49.79万元,占1.02%。</w:t>
      </w:r>
    </w:p>
    <w:p>
      <w:pPr>
        <w:ind w:firstLine="640" w:firstLineChars="200"/>
        <w:outlineLvl w:val="2"/>
        <w:rPr>
          <w:rFonts w:ascii="黑体" w:hAnsi="黑体" w:eastAsia="黑体"/>
          <w:sz w:val="32"/>
          <w:szCs w:val="32"/>
        </w:rPr>
      </w:pPr>
      <w:r>
        <w:rPr>
          <w:rFonts w:hint="eastAsia" w:ascii="仿宋_GB2312" w:eastAsia="仿宋_GB2312"/>
          <w:sz w:val="32"/>
          <w:szCs w:val="32"/>
        </w:rPr>
        <w:t>2.卫生健康支出(类)27.68万元,占0.57%。</w:t>
      </w:r>
    </w:p>
    <w:p>
      <w:pPr>
        <w:ind w:firstLine="640" w:firstLineChars="200"/>
        <w:outlineLvl w:val="2"/>
        <w:rPr>
          <w:rFonts w:ascii="黑体" w:hAnsi="黑体" w:eastAsia="黑体"/>
          <w:sz w:val="32"/>
          <w:szCs w:val="32"/>
        </w:rPr>
      </w:pPr>
      <w:r>
        <w:rPr>
          <w:rFonts w:hint="eastAsia" w:ascii="仿宋_GB2312" w:eastAsia="仿宋_GB2312"/>
          <w:sz w:val="32"/>
          <w:szCs w:val="32"/>
        </w:rPr>
        <w:t>3.自然资源海洋气象等支出(类)3,541.94万元,占72.76%。</w:t>
      </w:r>
    </w:p>
    <w:p>
      <w:pPr>
        <w:ind w:firstLine="640" w:firstLineChars="200"/>
        <w:outlineLvl w:val="2"/>
        <w:rPr>
          <w:rFonts w:ascii="黑体" w:hAnsi="黑体" w:eastAsia="黑体"/>
          <w:sz w:val="32"/>
          <w:szCs w:val="32"/>
        </w:rPr>
      </w:pPr>
      <w:r>
        <w:rPr>
          <w:rFonts w:hint="eastAsia" w:ascii="仿宋_GB2312" w:eastAsia="仿宋_GB2312"/>
          <w:sz w:val="32"/>
          <w:szCs w:val="32"/>
        </w:rPr>
        <w:t>4.住房保障支出(类)1,248.74万元,占25.65%。</w:t>
      </w:r>
    </w:p>
    <w:p>
      <w:pPr>
        <w:ind w:firstLine="640" w:firstLineChars="200"/>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ascii="仿宋_GB2312" w:eastAsia="仿宋_GB2312"/>
          <w:b/>
          <w:bCs/>
          <w:sz w:val="32"/>
          <w:szCs w:val="32"/>
          <w:highlight w:val="yellow"/>
        </w:rPr>
      </w:pPr>
      <w:r>
        <w:rPr>
          <w:rFonts w:hint="eastAsia" w:ascii="仿宋_GB2312" w:eastAsia="仿宋_GB2312"/>
          <w:sz w:val="32"/>
          <w:szCs w:val="32"/>
        </w:rPr>
        <w:t>1.社会保障和就业支出(类)行政事业单位养老支出(款)行政单位离退休(项):支出决算数为4.22万元，比上年决算增加4.22万元，增长100.00%</w:t>
      </w:r>
      <w:r>
        <w:rPr>
          <w:rFonts w:ascii="仿宋_GB2312" w:eastAsia="仿宋_GB2312"/>
          <w:sz w:val="32"/>
          <w:szCs w:val="32"/>
        </w:rPr>
        <w:t>,</w:t>
      </w:r>
      <w:r>
        <w:rPr>
          <w:rFonts w:hint="eastAsia" w:ascii="仿宋_GB2312" w:eastAsia="仿宋_GB2312"/>
          <w:sz w:val="32"/>
          <w:szCs w:val="32"/>
        </w:rPr>
        <w:t>主要原因是:本年科目调整，退休费单独核算，经费增加。</w:t>
      </w:r>
    </w:p>
    <w:p>
      <w:pPr>
        <w:ind w:firstLine="640" w:firstLineChars="200"/>
        <w:outlineLvl w:val="1"/>
        <w:rPr>
          <w:rFonts w:ascii="黑体" w:hAnsi="黑体" w:eastAsia="黑体" w:cs="宋体"/>
          <w:bCs/>
          <w:kern w:val="0"/>
          <w:sz w:val="32"/>
          <w:szCs w:val="32"/>
        </w:rPr>
      </w:pPr>
      <w:bookmarkStart w:id="18" w:name="_Toc30870"/>
      <w:bookmarkStart w:id="19" w:name="_Toc11146"/>
      <w:r>
        <w:rPr>
          <w:rFonts w:hint="eastAsia" w:ascii="仿宋_GB2312" w:eastAsia="仿宋_GB2312"/>
          <w:sz w:val="32"/>
          <w:szCs w:val="32"/>
        </w:rPr>
        <w:t>2.社会保障和就业支出(类)行政事业单位养老支出(款)机关事业单位基本养老保险缴费支出(项):支出决算数为40.84万元，比上年决算增加11.09万元，增长37.28%</w:t>
      </w:r>
      <w:r>
        <w:rPr>
          <w:rFonts w:ascii="仿宋_GB2312" w:eastAsia="仿宋_GB2312"/>
          <w:sz w:val="32"/>
          <w:szCs w:val="32"/>
        </w:rPr>
        <w:t>,</w:t>
      </w:r>
      <w:r>
        <w:rPr>
          <w:rFonts w:hint="eastAsia" w:ascii="仿宋_GB2312" w:eastAsia="仿宋_GB2312"/>
          <w:sz w:val="32"/>
          <w:szCs w:val="32"/>
        </w:rPr>
        <w:t>主要原因是:本年在职人员调薪，养老保险缴费支出增加，并且财政承担自收自支人员的社保，经费增加。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3.社会保障和就业支出(类)行政事业单位养老支出(款)机关事业单位职业年金缴费支出(项):支出决算数为4.73万元，比上年决算增加0.42万元，增长9.74%</w:t>
      </w:r>
      <w:r>
        <w:rPr>
          <w:rFonts w:ascii="仿宋_GB2312" w:eastAsia="仿宋_GB2312"/>
          <w:sz w:val="32"/>
          <w:szCs w:val="32"/>
        </w:rPr>
        <w:t>,</w:t>
      </w:r>
      <w:r>
        <w:rPr>
          <w:rFonts w:hint="eastAsia" w:ascii="仿宋_GB2312" w:eastAsia="仿宋_GB2312"/>
          <w:sz w:val="32"/>
          <w:szCs w:val="32"/>
        </w:rPr>
        <w:t>主要原因是:本年退休1人，支取职业年金。</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4.卫生健康支出(类)行政事业单位医疗(款)行政单位医疗(项):支出决算数为14.39万元，比上年决算减少9.40万元，下降39.51%</w:t>
      </w:r>
      <w:r>
        <w:rPr>
          <w:rFonts w:ascii="仿宋_GB2312" w:eastAsia="仿宋_GB2312"/>
          <w:sz w:val="32"/>
          <w:szCs w:val="32"/>
        </w:rPr>
        <w:t>,</w:t>
      </w:r>
      <w:r>
        <w:rPr>
          <w:rFonts w:hint="eastAsia" w:ascii="仿宋_GB2312" w:eastAsia="仿宋_GB2312"/>
          <w:sz w:val="32"/>
          <w:szCs w:val="32"/>
        </w:rPr>
        <w:t>主要原因是:本年科目调整，事业单位医疗项单独核算，经费减少。</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5.卫生健康支出(类)行政事业单位医疗(款)事业单位医疗(项):支出决算数为11.55万元，比上年决算增加11.55万元，增长100.00%</w:t>
      </w:r>
      <w:r>
        <w:rPr>
          <w:rFonts w:ascii="仿宋_GB2312" w:eastAsia="仿宋_GB2312"/>
          <w:sz w:val="32"/>
          <w:szCs w:val="32"/>
        </w:rPr>
        <w:t>,</w:t>
      </w:r>
      <w:r>
        <w:rPr>
          <w:rFonts w:hint="eastAsia" w:ascii="仿宋_GB2312" w:eastAsia="仿宋_GB2312"/>
          <w:sz w:val="32"/>
          <w:szCs w:val="32"/>
        </w:rPr>
        <w:t>主要原因是:本年科目调整，事业单位医疗项单独核算，经费增加。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6.卫生健康支出(类)行政事业单位医疗(款)公务员医疗补助(项):支出决算数为1.74万元，比上年决算减少3.14万元，下降64.34%</w:t>
      </w:r>
      <w:r>
        <w:rPr>
          <w:rFonts w:ascii="仿宋_GB2312" w:eastAsia="仿宋_GB2312"/>
          <w:sz w:val="32"/>
          <w:szCs w:val="32"/>
        </w:rPr>
        <w:t>,</w:t>
      </w:r>
      <w:r>
        <w:rPr>
          <w:rFonts w:hint="eastAsia" w:ascii="仿宋_GB2312" w:eastAsia="仿宋_GB2312"/>
          <w:sz w:val="32"/>
          <w:szCs w:val="32"/>
        </w:rPr>
        <w:t>主要原因是:本年公务员退休1人，公务员医疗补助减少。</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7.自然资源海洋气象等支出(类)自然资源事务(款)行政运行(项):支出决算数为234.84万元，比上年决算减少319.59万元，下降57.64%</w:t>
      </w:r>
      <w:r>
        <w:rPr>
          <w:rFonts w:ascii="仿宋_GB2312" w:eastAsia="仿宋_GB2312"/>
          <w:sz w:val="32"/>
          <w:szCs w:val="32"/>
        </w:rPr>
        <w:t>,</w:t>
      </w:r>
      <w:r>
        <w:rPr>
          <w:rFonts w:hint="eastAsia" w:ascii="仿宋_GB2312" w:eastAsia="仿宋_GB2312"/>
          <w:sz w:val="32"/>
          <w:szCs w:val="32"/>
        </w:rPr>
        <w:t>主要原因是:本年科目调整，退休费、事业人员经费单独列支，经费减少。</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8.自然资源海洋气象等支出(类)自然资源事务(款)自然资源规划及管理(项):支出决算数为2,056.96万元，比上年决算增加1,641.14万元，增长394.68%</w:t>
      </w:r>
      <w:r>
        <w:rPr>
          <w:rFonts w:ascii="仿宋_GB2312" w:eastAsia="仿宋_GB2312"/>
          <w:sz w:val="32"/>
          <w:szCs w:val="32"/>
        </w:rPr>
        <w:t>,</w:t>
      </w:r>
      <w:r>
        <w:rPr>
          <w:rFonts w:hint="eastAsia" w:ascii="仿宋_GB2312" w:eastAsia="仿宋_GB2312"/>
          <w:sz w:val="32"/>
          <w:szCs w:val="32"/>
        </w:rPr>
        <w:t>主要原因是:本年根据业务需要增加耕地占用税支出。</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9.自然资源海洋气象等支出(类)自然资源事务(款)自然资源行业业务管理(项):支出决算数为30.00万元，比上年决算增加30.00万元，增长100.00%</w:t>
      </w:r>
      <w:r>
        <w:rPr>
          <w:rFonts w:ascii="仿宋_GB2312" w:eastAsia="仿宋_GB2312"/>
          <w:sz w:val="32"/>
          <w:szCs w:val="32"/>
        </w:rPr>
        <w:t>,</w:t>
      </w:r>
      <w:r>
        <w:rPr>
          <w:rFonts w:hint="eastAsia" w:ascii="仿宋_GB2312" w:eastAsia="仿宋_GB2312"/>
          <w:sz w:val="32"/>
          <w:szCs w:val="32"/>
        </w:rPr>
        <w:t>主要原因是:本年增加国有农用地管理项目。</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10.自然资源海洋气象等支出(类)自然资源事务(款)自然资源调查与确权登记(项):支出决算数为99.60万元，比上年决算增加69.60万元，增长232.00%</w:t>
      </w:r>
      <w:r>
        <w:rPr>
          <w:rFonts w:ascii="仿宋_GB2312" w:eastAsia="仿宋_GB2312"/>
          <w:sz w:val="32"/>
          <w:szCs w:val="32"/>
        </w:rPr>
        <w:t>,</w:t>
      </w:r>
      <w:r>
        <w:rPr>
          <w:rFonts w:hint="eastAsia" w:ascii="仿宋_GB2312" w:eastAsia="仿宋_GB2312"/>
          <w:sz w:val="32"/>
          <w:szCs w:val="32"/>
        </w:rPr>
        <w:t>主要原因是:本年增加自然资源统一确权项目。</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11.自然资源海洋气象等支出(类)自然资源事务(款)基础测绘与地理信息监管(项):支出决算数为426.82万元，比上年决算增加426.82万元，增长100.00%</w:t>
      </w:r>
      <w:r>
        <w:rPr>
          <w:rFonts w:ascii="仿宋_GB2312" w:eastAsia="仿宋_GB2312"/>
          <w:sz w:val="32"/>
          <w:szCs w:val="32"/>
        </w:rPr>
        <w:t>,</w:t>
      </w:r>
      <w:r>
        <w:rPr>
          <w:rFonts w:hint="eastAsia" w:ascii="仿宋_GB2312" w:eastAsia="仿宋_GB2312"/>
          <w:sz w:val="32"/>
          <w:szCs w:val="32"/>
        </w:rPr>
        <w:t>主要原因是:本年科目调整，基础测绘费单独核算，经费增加。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12.自然资源海洋气象等支出(类)自然资源事务(款)事业运行(项):支出决算数为190.30万元，比上年决算增加190.30万元，增长100.00%</w:t>
      </w:r>
      <w:r>
        <w:rPr>
          <w:rFonts w:ascii="仿宋_GB2312" w:eastAsia="仿宋_GB2312"/>
          <w:sz w:val="32"/>
          <w:szCs w:val="32"/>
        </w:rPr>
        <w:t>,</w:t>
      </w:r>
      <w:r>
        <w:rPr>
          <w:rFonts w:hint="eastAsia" w:ascii="仿宋_GB2312" w:eastAsia="仿宋_GB2312"/>
          <w:sz w:val="32"/>
          <w:szCs w:val="32"/>
        </w:rPr>
        <w:t>主要原因是:本年科目调整，事业运行此项单独核算，经费增加。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13.自然资源海洋气象等支出(类)自然资源事务(款)其他自然资源事务支出(项):支出决算数为503.42万元，比上年决算增加439.13万元，增长683.05%</w:t>
      </w:r>
      <w:r>
        <w:rPr>
          <w:rFonts w:ascii="仿宋_GB2312" w:eastAsia="仿宋_GB2312"/>
          <w:sz w:val="32"/>
          <w:szCs w:val="32"/>
        </w:rPr>
        <w:t>,</w:t>
      </w:r>
      <w:r>
        <w:rPr>
          <w:rFonts w:hint="eastAsia" w:ascii="仿宋_GB2312" w:eastAsia="仿宋_GB2312"/>
          <w:sz w:val="32"/>
          <w:szCs w:val="32"/>
        </w:rPr>
        <w:t>主要原因是:本年增加党上龙及察县绿源种苗公司征地地上附着物补偿项目。</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14.住房保障支出(类)保障性安居工程支出(款)其他保障性安居工程支出(项):支出决算数为1,214.57万元，比上年决算增加1,214.57万元，增长100.00%</w:t>
      </w:r>
      <w:r>
        <w:rPr>
          <w:rFonts w:ascii="仿宋_GB2312" w:eastAsia="仿宋_GB2312"/>
          <w:sz w:val="32"/>
          <w:szCs w:val="32"/>
        </w:rPr>
        <w:t>,</w:t>
      </w:r>
      <w:r>
        <w:rPr>
          <w:rFonts w:hint="eastAsia" w:ascii="仿宋_GB2312" w:eastAsia="仿宋_GB2312"/>
          <w:sz w:val="32"/>
          <w:szCs w:val="32"/>
        </w:rPr>
        <w:t>主要原因是:本年科目调整，新增此科目列支耕地占用税支出。</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15.住房保障支出(类)住房改革支出(款)住房公积金(项):支出决算数为34.17万元，比上年决算增加4.95万元，增长16.94%</w:t>
      </w:r>
      <w:r>
        <w:rPr>
          <w:rFonts w:ascii="仿宋_GB2312" w:eastAsia="仿宋_GB2312"/>
          <w:sz w:val="32"/>
          <w:szCs w:val="32"/>
        </w:rPr>
        <w:t>,</w:t>
      </w:r>
      <w:r>
        <w:rPr>
          <w:rFonts w:hint="eastAsia" w:ascii="仿宋_GB2312" w:eastAsia="仿宋_GB2312"/>
          <w:sz w:val="32"/>
          <w:szCs w:val="32"/>
        </w:rPr>
        <w:t>主要原因是:本年在职人员调薪，公积金缴费支出增加。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16.节能环保支出(类)其他节能环保支出(款)其他节能环保支出(项):支出决算数为0.00万元，比上年决算减少792.56万元，下降100%</w:t>
      </w:r>
      <w:r>
        <w:rPr>
          <w:rFonts w:ascii="仿宋_GB2312" w:eastAsia="仿宋_GB2312"/>
          <w:sz w:val="32"/>
          <w:szCs w:val="32"/>
        </w:rPr>
        <w:t>,</w:t>
      </w:r>
      <w:r>
        <w:rPr>
          <w:rFonts w:hint="eastAsia" w:ascii="仿宋_GB2312" w:eastAsia="仿宋_GB2312"/>
          <w:sz w:val="32"/>
          <w:szCs w:val="32"/>
        </w:rPr>
        <w:t>主要原因是:本年无此项支出。</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17.农林水支出(类)其他农林水支出(款)其他农林水支出(项):支出决算数为0.00万元，比上年决算减少2,500.00万元，下降100%</w:t>
      </w:r>
      <w:r>
        <w:rPr>
          <w:rFonts w:ascii="仿宋_GB2312" w:eastAsia="仿宋_GB2312"/>
          <w:sz w:val="32"/>
          <w:szCs w:val="32"/>
        </w:rPr>
        <w:t>,</w:t>
      </w:r>
      <w:r>
        <w:rPr>
          <w:rFonts w:hint="eastAsia" w:ascii="仿宋_GB2312" w:eastAsia="仿宋_GB2312"/>
          <w:sz w:val="32"/>
          <w:szCs w:val="32"/>
        </w:rPr>
        <w:t>主要原因是:本年无此项支出。</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年度一般公共预算财政拨款基本支出</w:t>
      </w:r>
      <w:r>
        <w:rPr>
          <w:rFonts w:ascii="仿宋_GB2312" w:eastAsia="仿宋_GB2312"/>
          <w:sz w:val="32"/>
          <w:szCs w:val="32"/>
        </w:rPr>
        <w:t>4,235.13</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501.81</w:t>
      </w:r>
      <w:r>
        <w:rPr>
          <w:rFonts w:hint="eastAsia" w:ascii="仿宋_GB2312" w:eastAsia="仿宋_GB2312"/>
          <w:sz w:val="32"/>
          <w:szCs w:val="32"/>
        </w:rPr>
        <w:t>万元，包括：基本工资、津贴补贴、奖金、机关事业单位基本养老保险缴费、职业年金缴费、职工基本医疗保险缴费、公务员医疗补助缴费、其他社会保障缴费、住房公积金、其他工资福利支出、退休费、生活补助、奖励金。</w:t>
      </w:r>
    </w:p>
    <w:p>
      <w:pPr>
        <w:ind w:firstLine="640" w:firstLineChars="200"/>
        <w:rPr>
          <w:rFonts w:ascii="仿宋_GB2312" w:hAnsi="宋体" w:eastAsia="仿宋_GB2312" w:cs="宋体"/>
          <w:kern w:val="0"/>
          <w:sz w:val="32"/>
          <w:szCs w:val="32"/>
        </w:rPr>
      </w:pPr>
      <w:r>
        <w:rPr>
          <w:rFonts w:hint="eastAsia" w:ascii="仿宋_GB2312" w:eastAsia="仿宋_GB2312"/>
          <w:sz w:val="32"/>
          <w:szCs w:val="32"/>
        </w:rPr>
        <w:t>公用经费3,733.32万元，包括：办公费、咨询费、水费、电费、邮电费、差旅费、维修（护）费、公务接待费、劳务费、委托业务费、工会经费、公务用车运行维护费、其他交通费用、税金及附加费用、其他商品和服务支出。</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七、财政拨款“三公”经费支出决算情况说明</w:t>
      </w:r>
      <w:bookmarkEnd w:id="20"/>
      <w:bookmarkEnd w:id="21"/>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年度财政拨款“三公”经费支出决算</w:t>
      </w:r>
      <w:r>
        <w:rPr>
          <w:rFonts w:ascii="仿宋_GB2312" w:eastAsia="仿宋_GB2312"/>
          <w:sz w:val="32"/>
          <w:szCs w:val="32"/>
        </w:rPr>
        <w:t>6.08</w:t>
      </w:r>
      <w:r>
        <w:rPr>
          <w:rFonts w:hint="eastAsia" w:ascii="仿宋_GB2312" w:eastAsia="仿宋_GB2312"/>
          <w:sz w:val="32"/>
          <w:szCs w:val="32"/>
        </w:rPr>
        <w:t>万元，比上年</w:t>
      </w:r>
      <w:r>
        <w:rPr>
          <w:rFonts w:ascii="仿宋_GB2312" w:eastAsia="仿宋_GB2312"/>
          <w:sz w:val="32"/>
          <w:szCs w:val="32"/>
        </w:rPr>
        <w:t>增加2.45</w:t>
      </w:r>
      <w:r>
        <w:rPr>
          <w:rFonts w:hint="eastAsia" w:ascii="仿宋_GB2312" w:eastAsia="仿宋_GB2312"/>
          <w:sz w:val="32"/>
          <w:szCs w:val="32"/>
        </w:rPr>
        <w:t>万元，</w:t>
      </w:r>
      <w:r>
        <w:rPr>
          <w:rFonts w:ascii="仿宋_GB2312" w:eastAsia="仿宋_GB2312"/>
          <w:sz w:val="32"/>
          <w:szCs w:val="32"/>
        </w:rPr>
        <w:t>增长67.49</w:t>
      </w:r>
      <w:r>
        <w:rPr>
          <w:rFonts w:hint="eastAsia" w:ascii="仿宋_GB2312" w:eastAsia="仿宋_GB2312"/>
          <w:sz w:val="32"/>
          <w:szCs w:val="32"/>
        </w:rPr>
        <w:t>%，主要原因是：</w:t>
      </w:r>
      <w:r>
        <w:rPr>
          <w:rFonts w:ascii="仿宋_GB2312" w:eastAsia="仿宋_GB2312"/>
          <w:sz w:val="32"/>
          <w:szCs w:val="32"/>
        </w:rPr>
        <w:t>根据业务需要，卫片图斑车辆业务开展增加，车辆使用次数增加，造成车辆维护费增加。本年增加上级领导检查、督查及验收接待，接待费经费增加</w:t>
      </w:r>
      <w:r>
        <w:rPr>
          <w:rFonts w:hint="eastAsia" w:ascii="仿宋_GB2312" w:eastAsia="仿宋_GB2312"/>
          <w:sz w:val="32"/>
          <w:szCs w:val="32"/>
        </w:rPr>
        <w:t>。其中：因公出国（境）费支出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我单位无因公出国（境）费</w:t>
      </w:r>
      <w:r>
        <w:rPr>
          <w:rFonts w:hint="eastAsia" w:ascii="仿宋_GB2312" w:eastAsia="仿宋_GB2312"/>
          <w:sz w:val="32"/>
          <w:szCs w:val="32"/>
        </w:rPr>
        <w:t>；公务用车购置及运行维护费支出</w:t>
      </w:r>
      <w:r>
        <w:rPr>
          <w:rFonts w:ascii="仿宋_GB2312" w:eastAsia="仿宋_GB2312"/>
          <w:sz w:val="32"/>
          <w:szCs w:val="32"/>
        </w:rPr>
        <w:t>4.77</w:t>
      </w:r>
      <w:r>
        <w:rPr>
          <w:rFonts w:hint="eastAsia" w:ascii="仿宋_GB2312" w:eastAsia="仿宋_GB2312"/>
          <w:sz w:val="32"/>
          <w:szCs w:val="32"/>
        </w:rPr>
        <w:t>万元，占</w:t>
      </w:r>
      <w:r>
        <w:rPr>
          <w:rFonts w:ascii="仿宋_GB2312" w:eastAsia="仿宋_GB2312"/>
          <w:sz w:val="32"/>
          <w:szCs w:val="32"/>
        </w:rPr>
        <w:t>78.45</w:t>
      </w:r>
      <w:r>
        <w:rPr>
          <w:rFonts w:hint="eastAsia" w:ascii="仿宋_GB2312" w:eastAsia="仿宋_GB2312"/>
          <w:sz w:val="32"/>
          <w:szCs w:val="32"/>
        </w:rPr>
        <w:t>%，比上年</w:t>
      </w:r>
      <w:r>
        <w:rPr>
          <w:rFonts w:ascii="仿宋_GB2312" w:eastAsia="仿宋_GB2312"/>
          <w:sz w:val="32"/>
          <w:szCs w:val="32"/>
        </w:rPr>
        <w:t>增加1.99</w:t>
      </w:r>
      <w:r>
        <w:rPr>
          <w:rFonts w:hint="eastAsia" w:ascii="仿宋_GB2312" w:eastAsia="仿宋_GB2312"/>
          <w:sz w:val="32"/>
          <w:szCs w:val="32"/>
        </w:rPr>
        <w:t>万元，</w:t>
      </w:r>
      <w:r>
        <w:rPr>
          <w:rFonts w:ascii="仿宋_GB2312" w:eastAsia="仿宋_GB2312"/>
          <w:sz w:val="32"/>
          <w:szCs w:val="32"/>
        </w:rPr>
        <w:t>增长71.58</w:t>
      </w:r>
      <w:r>
        <w:rPr>
          <w:rFonts w:hint="eastAsia" w:ascii="仿宋_GB2312" w:eastAsia="仿宋_GB2312"/>
          <w:sz w:val="32"/>
          <w:szCs w:val="32"/>
        </w:rPr>
        <w:t>%，主要原因是：</w:t>
      </w:r>
      <w:r>
        <w:rPr>
          <w:rFonts w:ascii="仿宋_GB2312" w:eastAsia="仿宋_GB2312"/>
          <w:sz w:val="32"/>
          <w:szCs w:val="32"/>
        </w:rPr>
        <w:t>根据业务需要，卫片图斑车辆业务开展增加，车辆使用次数增加，造成车辆维护费增加</w:t>
      </w:r>
      <w:r>
        <w:rPr>
          <w:rFonts w:hint="eastAsia" w:ascii="仿宋_GB2312" w:eastAsia="仿宋_GB2312"/>
          <w:sz w:val="32"/>
          <w:szCs w:val="32"/>
        </w:rPr>
        <w:t>；公务接待费支出</w:t>
      </w:r>
      <w:r>
        <w:rPr>
          <w:rFonts w:ascii="仿宋_GB2312" w:eastAsia="仿宋_GB2312"/>
          <w:sz w:val="32"/>
          <w:szCs w:val="32"/>
        </w:rPr>
        <w:t>1.31</w:t>
      </w:r>
      <w:r>
        <w:rPr>
          <w:rFonts w:hint="eastAsia" w:ascii="仿宋_GB2312" w:eastAsia="仿宋_GB2312"/>
          <w:sz w:val="32"/>
          <w:szCs w:val="32"/>
        </w:rPr>
        <w:t>万元，占</w:t>
      </w:r>
      <w:r>
        <w:rPr>
          <w:rFonts w:ascii="仿宋_GB2312" w:eastAsia="仿宋_GB2312"/>
          <w:sz w:val="32"/>
          <w:szCs w:val="32"/>
        </w:rPr>
        <w:t>21.55</w:t>
      </w:r>
      <w:r>
        <w:rPr>
          <w:rFonts w:hint="eastAsia" w:ascii="仿宋_GB2312" w:eastAsia="仿宋_GB2312"/>
          <w:sz w:val="32"/>
          <w:szCs w:val="32"/>
        </w:rPr>
        <w:t>%，比上年</w:t>
      </w:r>
      <w:r>
        <w:rPr>
          <w:rFonts w:ascii="仿宋_GB2312" w:eastAsia="仿宋_GB2312"/>
          <w:sz w:val="32"/>
          <w:szCs w:val="32"/>
        </w:rPr>
        <w:t>增加0.46</w:t>
      </w:r>
      <w:r>
        <w:rPr>
          <w:rFonts w:hint="eastAsia" w:ascii="仿宋_GB2312" w:eastAsia="仿宋_GB2312"/>
          <w:sz w:val="32"/>
          <w:szCs w:val="32"/>
        </w:rPr>
        <w:t>万元，</w:t>
      </w:r>
      <w:r>
        <w:rPr>
          <w:rFonts w:ascii="仿宋_GB2312" w:eastAsia="仿宋_GB2312"/>
          <w:sz w:val="32"/>
          <w:szCs w:val="32"/>
        </w:rPr>
        <w:t>增长54.12</w:t>
      </w:r>
      <w:r>
        <w:rPr>
          <w:rFonts w:hint="eastAsia" w:ascii="仿宋_GB2312" w:eastAsia="仿宋_GB2312"/>
          <w:sz w:val="32"/>
          <w:szCs w:val="32"/>
        </w:rPr>
        <w:t>%，主要原因是：</w:t>
      </w:r>
      <w:r>
        <w:rPr>
          <w:rFonts w:ascii="仿宋_GB2312" w:eastAsia="仿宋_GB2312"/>
          <w:sz w:val="32"/>
          <w:szCs w:val="32"/>
        </w:rPr>
        <w:t>本年增加上级领导检查、督查及验收接待，接待费经费增加</w:t>
      </w:r>
      <w:r>
        <w:rPr>
          <w:rFonts w:hint="eastAsia" w:ascii="仿宋_GB2312" w:eastAsia="仿宋_GB2312"/>
          <w:sz w:val="32"/>
          <w:szCs w:val="32"/>
        </w:rPr>
        <w:t>。具体情况如下：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4.77</w:t>
      </w:r>
      <w:r>
        <w:rPr>
          <w:rFonts w:hint="eastAsia" w:ascii="仿宋_GB2312" w:eastAsia="仿宋_GB2312"/>
          <w:sz w:val="32"/>
          <w:szCs w:val="32"/>
        </w:rPr>
        <w:t>万元，其中：公务用车购置费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4.77</w:t>
      </w:r>
      <w:r>
        <w:rPr>
          <w:rFonts w:hint="eastAsia" w:ascii="仿宋_GB2312" w:eastAsia="仿宋_GB2312"/>
          <w:sz w:val="32"/>
          <w:szCs w:val="32"/>
        </w:rPr>
        <w:t>万元。公务用车运行维护费开支内容包括车辆加油费、维修费、保险费等。公务用车购置数</w:t>
      </w:r>
      <w:r>
        <w:rPr>
          <w:rFonts w:ascii="仿宋_GB2312" w:eastAsia="仿宋_GB2312"/>
          <w:sz w:val="32"/>
          <w:szCs w:val="32"/>
        </w:rPr>
        <w:t>0</w:t>
      </w:r>
      <w:r>
        <w:rPr>
          <w:rFonts w:hint="eastAsia" w:ascii="仿宋_GB2312" w:eastAsia="仿宋_GB2312"/>
          <w:sz w:val="32"/>
          <w:szCs w:val="32"/>
        </w:rPr>
        <w:t>辆，公务用车保有量5辆。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1.31</w:t>
      </w:r>
      <w:r>
        <w:rPr>
          <w:rFonts w:hint="eastAsia" w:ascii="仿宋_GB2312" w:eastAsia="仿宋_GB2312"/>
          <w:sz w:val="32"/>
          <w:szCs w:val="32"/>
        </w:rPr>
        <w:t>万元，开支内容包括上级领导检查、督查及验收接待餐费。单位全年安排的国内公务接待</w:t>
      </w:r>
      <w:r>
        <w:rPr>
          <w:rFonts w:ascii="仿宋_GB2312" w:eastAsia="仿宋_GB2312"/>
          <w:sz w:val="32"/>
          <w:szCs w:val="32"/>
        </w:rPr>
        <w:t>16</w:t>
      </w:r>
      <w:r>
        <w:rPr>
          <w:rFonts w:hint="eastAsia" w:ascii="仿宋_GB2312" w:eastAsia="仿宋_GB2312"/>
          <w:sz w:val="32"/>
          <w:szCs w:val="32"/>
        </w:rPr>
        <w:t>批次，</w:t>
      </w:r>
      <w:r>
        <w:rPr>
          <w:rFonts w:ascii="仿宋_GB2312" w:eastAsia="仿宋_GB2312"/>
          <w:sz w:val="32"/>
          <w:szCs w:val="32"/>
        </w:rPr>
        <w:t>160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与全年预算数相比情况：“三公”经费支出全年预算数6.08万元，决算数</w:t>
      </w:r>
      <w:r>
        <w:rPr>
          <w:rFonts w:ascii="仿宋_GB2312" w:eastAsia="仿宋_GB2312"/>
          <w:sz w:val="32"/>
          <w:szCs w:val="32"/>
        </w:rPr>
        <w:t>6.08</w:t>
      </w:r>
      <w:r>
        <w:rPr>
          <w:rFonts w:hint="eastAsia" w:ascii="仿宋_GB2312" w:eastAsia="仿宋_GB2312"/>
          <w:sz w:val="32"/>
          <w:szCs w:val="32"/>
        </w:rPr>
        <w:t>万元，预决算差异率0.00%，主要原因是：预决算一致无差异。</w:t>
      </w:r>
      <w:r>
        <w:rPr>
          <w:rFonts w:hint="eastAsia" w:ascii="仿宋_GB2312" w:hAnsi="宋体" w:eastAsia="仿宋_GB2312" w:cs="宋体"/>
          <w:kern w:val="0"/>
          <w:sz w:val="32"/>
          <w:szCs w:val="32"/>
        </w:rPr>
        <w:t>其中：因公出国（境）费全年预算数</w:t>
      </w:r>
      <w:r>
        <w:rPr>
          <w:rFonts w:hint="eastAsia" w:ascii="仿宋_GB2312" w:eastAsia="仿宋_GB2312"/>
          <w:sz w:val="32"/>
          <w:szCs w:val="32"/>
        </w:rPr>
        <w:t>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费全年预算数0.00万元，决算数0.00万元，预决算差异率0.00%，主要原因是：我单位无公务用车购置费；</w:t>
      </w:r>
      <w:r>
        <w:rPr>
          <w:rFonts w:hint="eastAsia" w:ascii="仿宋_GB2312" w:hAnsi="宋体" w:eastAsia="仿宋_GB2312" w:cs="宋体"/>
          <w:kern w:val="0"/>
          <w:sz w:val="32"/>
          <w:szCs w:val="32"/>
        </w:rPr>
        <w:t>公务用车运行费全年</w:t>
      </w:r>
      <w:r>
        <w:rPr>
          <w:rFonts w:hint="eastAsia" w:ascii="仿宋_GB2312" w:eastAsia="仿宋_GB2312"/>
          <w:sz w:val="32"/>
          <w:szCs w:val="32"/>
        </w:rPr>
        <w:t>预算数4.77万元，决算数4.77万元，预决算差异率0.00%，主要原因是：预决算一致无差异；</w:t>
      </w:r>
      <w:r>
        <w:rPr>
          <w:rFonts w:hint="eastAsia" w:ascii="仿宋_GB2312" w:hAnsi="宋体" w:eastAsia="仿宋_GB2312" w:cs="宋体"/>
          <w:kern w:val="0"/>
          <w:sz w:val="32"/>
          <w:szCs w:val="32"/>
        </w:rPr>
        <w:t>公务接待费全年</w:t>
      </w:r>
      <w:r>
        <w:rPr>
          <w:rFonts w:hint="eastAsia" w:ascii="仿宋_GB2312" w:eastAsia="仿宋_GB2312"/>
          <w:sz w:val="32"/>
          <w:szCs w:val="32"/>
        </w:rPr>
        <w:t>预算数</w:t>
      </w:r>
      <w:r>
        <w:rPr>
          <w:rFonts w:ascii="仿宋_GB2312" w:eastAsia="仿宋_GB2312"/>
          <w:sz w:val="32"/>
          <w:szCs w:val="32"/>
        </w:rPr>
        <w:t>1.31</w:t>
      </w:r>
      <w:r>
        <w:rPr>
          <w:rFonts w:hint="eastAsia" w:ascii="仿宋_GB2312" w:eastAsia="仿宋_GB2312"/>
          <w:sz w:val="32"/>
          <w:szCs w:val="32"/>
        </w:rPr>
        <w:t>万元，决算数</w:t>
      </w:r>
      <w:r>
        <w:rPr>
          <w:rFonts w:ascii="仿宋_GB2312" w:eastAsia="仿宋_GB2312"/>
          <w:sz w:val="32"/>
          <w:szCs w:val="32"/>
        </w:rPr>
        <w:t>1.31</w:t>
      </w:r>
      <w:r>
        <w:rPr>
          <w:rFonts w:hint="eastAsia" w:ascii="仿宋_GB2312" w:eastAsia="仿宋_GB2312"/>
          <w:sz w:val="32"/>
          <w:szCs w:val="32"/>
        </w:rPr>
        <w:t>万元，预决算差异率0.00%，主要原因是：预决算一致无差异。</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年度政府性基金预算年初结转和结余0.00万元，财政拨款收入</w:t>
      </w:r>
      <w:r>
        <w:rPr>
          <w:rFonts w:ascii="仿宋_GB2312" w:eastAsia="仿宋_GB2312"/>
          <w:sz w:val="32"/>
          <w:szCs w:val="32"/>
        </w:rPr>
        <w:t>554.76</w:t>
      </w:r>
      <w:r>
        <w:rPr>
          <w:rFonts w:hint="eastAsia" w:ascii="仿宋_GB2312" w:eastAsia="仿宋_GB2312"/>
          <w:sz w:val="32"/>
          <w:szCs w:val="32"/>
        </w:rPr>
        <w:t>万元，与上年相比，</w:t>
      </w:r>
      <w:r>
        <w:rPr>
          <w:rFonts w:ascii="仿宋_GB2312" w:eastAsia="仿宋_GB2312"/>
          <w:sz w:val="32"/>
          <w:szCs w:val="32"/>
        </w:rPr>
        <w:t>减少3,230.85</w:t>
      </w:r>
      <w:r>
        <w:rPr>
          <w:rFonts w:hint="eastAsia" w:ascii="仿宋_GB2312" w:eastAsia="仿宋_GB2312"/>
          <w:sz w:val="32"/>
          <w:szCs w:val="32"/>
        </w:rPr>
        <w:t>万元，</w:t>
      </w:r>
      <w:r>
        <w:rPr>
          <w:rFonts w:ascii="仿宋_GB2312" w:eastAsia="仿宋_GB2312"/>
          <w:sz w:val="32"/>
          <w:szCs w:val="32"/>
        </w:rPr>
        <w:t>下降85.35</w:t>
      </w:r>
      <w:r>
        <w:rPr>
          <w:rFonts w:hint="eastAsia" w:ascii="仿宋_GB2312" w:eastAsia="仿宋_GB2312"/>
          <w:sz w:val="32"/>
          <w:szCs w:val="32"/>
        </w:rPr>
        <w:t>%，主要原因是：</w:t>
      </w:r>
      <w:r>
        <w:rPr>
          <w:rFonts w:ascii="仿宋_GB2312" w:eastAsia="仿宋_GB2312"/>
          <w:sz w:val="32"/>
          <w:szCs w:val="32"/>
        </w:rPr>
        <w:t>本年度土地开发支出税金及附加费用减少</w:t>
      </w:r>
      <w:r>
        <w:rPr>
          <w:rFonts w:hint="eastAsia" w:ascii="仿宋_GB2312" w:eastAsia="仿宋_GB2312"/>
          <w:sz w:val="32"/>
          <w:szCs w:val="32"/>
        </w:rPr>
        <w:t>。政府性基金预算年末结转结余0.00万元，财政拨款支出</w:t>
      </w:r>
      <w:r>
        <w:rPr>
          <w:rFonts w:ascii="仿宋_GB2312" w:eastAsia="仿宋_GB2312"/>
          <w:sz w:val="32"/>
          <w:szCs w:val="32"/>
        </w:rPr>
        <w:t>554.76</w:t>
      </w:r>
      <w:r>
        <w:rPr>
          <w:rFonts w:hint="eastAsia" w:ascii="仿宋_GB2312" w:eastAsia="仿宋_GB2312"/>
          <w:sz w:val="32"/>
          <w:szCs w:val="32"/>
        </w:rPr>
        <w:t>万元，与上年相比，</w:t>
      </w:r>
      <w:r>
        <w:rPr>
          <w:rFonts w:ascii="仿宋_GB2312" w:eastAsia="仿宋_GB2312"/>
          <w:sz w:val="32"/>
          <w:szCs w:val="32"/>
        </w:rPr>
        <w:t>减少3,230.85</w:t>
      </w:r>
      <w:r>
        <w:rPr>
          <w:rFonts w:hint="eastAsia" w:ascii="仿宋_GB2312" w:eastAsia="仿宋_GB2312"/>
          <w:sz w:val="32"/>
          <w:szCs w:val="32"/>
        </w:rPr>
        <w:t>万元，</w:t>
      </w:r>
      <w:r>
        <w:rPr>
          <w:rFonts w:ascii="仿宋_GB2312" w:eastAsia="仿宋_GB2312"/>
          <w:sz w:val="32"/>
          <w:szCs w:val="32"/>
        </w:rPr>
        <w:t>下降85.35</w:t>
      </w:r>
      <w:r>
        <w:rPr>
          <w:rFonts w:hint="eastAsia" w:ascii="仿宋_GB2312" w:eastAsia="仿宋_GB2312"/>
          <w:sz w:val="32"/>
          <w:szCs w:val="32"/>
        </w:rPr>
        <w:t>%，主要原因是：</w:t>
      </w:r>
      <w:r>
        <w:rPr>
          <w:rFonts w:ascii="仿宋_GB2312" w:eastAsia="仿宋_GB2312"/>
          <w:sz w:val="32"/>
          <w:szCs w:val="32"/>
        </w:rPr>
        <w:t>本年度土地开发支出税金及附加费用减少</w:t>
      </w:r>
      <w:r>
        <w:rPr>
          <w:rFonts w:hint="eastAsia" w:ascii="仿宋_GB2312" w:eastAsia="仿宋_GB2312"/>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政府性基金预算财政拨款支出554.76万元。按功能分类科目项级科目公开，其中：</w:t>
      </w:r>
    </w:p>
    <w:p>
      <w:pPr>
        <w:ind w:firstLine="640" w:firstLineChars="200"/>
        <w:jc w:val="left"/>
        <w:rPr>
          <w:rFonts w:ascii="仿宋_GB2312" w:eastAsia="仿宋_GB2312"/>
          <w:sz w:val="32"/>
          <w:szCs w:val="32"/>
        </w:rPr>
      </w:pPr>
      <w:r>
        <w:rPr>
          <w:rFonts w:hint="eastAsia" w:ascii="仿宋_GB2312" w:eastAsia="仿宋_GB2312"/>
          <w:sz w:val="32"/>
          <w:szCs w:val="32"/>
        </w:rPr>
        <w:t>2120806土地出让业务支出542.98万元；</w:t>
      </w:r>
    </w:p>
    <w:p>
      <w:pPr>
        <w:ind w:firstLine="640" w:firstLineChars="200"/>
        <w:outlineLvl w:val="1"/>
        <w:rPr>
          <w:rFonts w:ascii="黑体" w:hAnsi="黑体" w:eastAsia="黑体" w:cs="宋体"/>
          <w:bCs/>
          <w:kern w:val="0"/>
          <w:sz w:val="32"/>
          <w:szCs w:val="32"/>
        </w:rPr>
      </w:pPr>
      <w:r>
        <w:rPr>
          <w:rFonts w:ascii="仿宋_GB2312" w:eastAsia="仿宋_GB2312"/>
          <w:sz w:val="32"/>
          <w:szCs w:val="32"/>
        </w:rPr>
        <w:t>2121100农业土地开发资金安排的支出11.78万元。</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rPr>
          <w:rFonts w:ascii="仿宋_GB2312" w:eastAsia="仿宋_GB2312"/>
          <w:sz w:val="32"/>
          <w:szCs w:val="32"/>
        </w:rPr>
      </w:pPr>
      <w:r>
        <w:rPr>
          <w:rFonts w:hint="eastAsia" w:ascii="黑体" w:hAnsi="黑体" w:eastAsia="黑体" w:cs="宋体"/>
          <w:bCs/>
          <w:kern w:val="0"/>
          <w:sz w:val="32"/>
          <w:szCs w:val="32"/>
        </w:rPr>
        <w:t>十、其他重要事项的情况说明</w:t>
      </w:r>
    </w:p>
    <w:p>
      <w:pPr>
        <w:ind w:firstLine="640" w:firstLineChars="200"/>
        <w:outlineLvl w:val="2"/>
        <w:rPr>
          <w:rFonts w:ascii="黑体" w:hAnsi="黑体" w:eastAsia="黑体"/>
          <w:sz w:val="32"/>
          <w:szCs w:val="32"/>
        </w:rPr>
      </w:pPr>
      <w:r>
        <w:rPr>
          <w:rFonts w:hint="eastAsia" w:ascii="黑体" w:hAnsi="黑体" w:eastAsia="黑体"/>
          <w:sz w:val="32"/>
          <w:szCs w:val="32"/>
        </w:rPr>
        <w:t>（一）机关运行经费支出情况</w:t>
      </w:r>
    </w:p>
    <w:p>
      <w:pPr>
        <w:ind w:firstLine="640" w:firstLineChars="200"/>
        <w:outlineLvl w:val="2"/>
        <w:rPr>
          <w:rFonts w:ascii="黑体" w:hAnsi="黑体" w:eastAsia="黑体"/>
          <w:sz w:val="32"/>
          <w:szCs w:val="32"/>
        </w:rPr>
      </w:pPr>
      <w:r>
        <w:rPr>
          <w:rFonts w:hint="eastAsia" w:ascii="仿宋_GB2312" w:eastAsia="仿宋_GB2312"/>
          <w:sz w:val="32"/>
          <w:szCs w:val="32"/>
        </w:rPr>
        <w:t>2022年度新疆伊犁州察布查尔锡伯自治县自然资源局（行政单位和参照公务员法管理事业单位）机关运行经费支出</w:t>
      </w:r>
      <w:r>
        <w:rPr>
          <w:rFonts w:ascii="仿宋_GB2312" w:eastAsia="仿宋_GB2312"/>
          <w:sz w:val="32"/>
          <w:szCs w:val="32"/>
        </w:rPr>
        <w:t>3,745.10</w:t>
      </w:r>
      <w:r>
        <w:rPr>
          <w:rFonts w:hint="eastAsia" w:ascii="仿宋_GB2312" w:eastAsia="仿宋_GB2312"/>
          <w:sz w:val="32"/>
          <w:szCs w:val="32"/>
        </w:rPr>
        <w:t>万元，比上年增加2,171.83万元，增长138.05%，主要原因是：本年税金及附加费用较上年增加。</w:t>
      </w:r>
    </w:p>
    <w:p>
      <w:pPr>
        <w:ind w:firstLine="640" w:firstLineChars="200"/>
        <w:rPr>
          <w:rFonts w:ascii="仿宋_GB2312" w:eastAsia="仿宋_GB2312"/>
          <w:sz w:val="32"/>
          <w:szCs w:val="32"/>
        </w:rPr>
      </w:pPr>
      <w:r>
        <w:rPr>
          <w:rFonts w:hint="eastAsia" w:ascii="黑体" w:hAnsi="黑体" w:eastAsia="黑体"/>
          <w:sz w:val="32"/>
          <w:szCs w:val="32"/>
        </w:rPr>
        <w:t>（二）政府采购情况</w:t>
      </w:r>
    </w:p>
    <w:p>
      <w:pPr>
        <w:ind w:firstLine="640" w:firstLineChars="200"/>
        <w:rPr>
          <w:rFonts w:ascii="仿宋_GB2312" w:eastAsia="仿宋_GB2312"/>
          <w:sz w:val="32"/>
          <w:szCs w:val="32"/>
        </w:rPr>
      </w:pPr>
      <w:r>
        <w:rPr>
          <w:rFonts w:hint="eastAsia" w:ascii="仿宋_GB2312" w:eastAsia="仿宋_GB2312"/>
          <w:sz w:val="32"/>
          <w:szCs w:val="32"/>
        </w:rPr>
        <w:t>2022年度政府采购支出总额</w:t>
      </w:r>
      <w:r>
        <w:rPr>
          <w:rFonts w:ascii="仿宋_GB2312" w:eastAsia="仿宋_GB2312"/>
          <w:sz w:val="32"/>
          <w:szCs w:val="32"/>
        </w:rPr>
        <w:t>1,399.60</w:t>
      </w:r>
      <w:r>
        <w:rPr>
          <w:rFonts w:hint="eastAsia" w:ascii="仿宋_GB2312" w:eastAsia="仿宋_GB2312"/>
          <w:sz w:val="32"/>
          <w:szCs w:val="32"/>
        </w:rPr>
        <w:t>万元，其中：政府采购货物支出</w:t>
      </w:r>
      <w:r>
        <w:rPr>
          <w:rFonts w:ascii="仿宋_GB2312" w:eastAsia="仿宋_GB2312"/>
          <w:sz w:val="32"/>
          <w:szCs w:val="32"/>
        </w:rPr>
        <w:t>7.50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1,392.10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1,399.60</w:t>
      </w:r>
      <w:r>
        <w:rPr>
          <w:rFonts w:hint="eastAsia" w:ascii="仿宋_GB2312" w:eastAsia="仿宋_GB2312"/>
          <w:sz w:val="32"/>
          <w:szCs w:val="32"/>
        </w:rPr>
        <w:t>万元，占政府采购支出总额的</w:t>
      </w:r>
      <w:r>
        <w:rPr>
          <w:rFonts w:ascii="仿宋_GB2312" w:eastAsia="仿宋_GB2312"/>
          <w:sz w:val="32"/>
          <w:szCs w:val="32"/>
        </w:rPr>
        <w:t>100.00</w:t>
      </w:r>
      <w:r>
        <w:rPr>
          <w:rFonts w:hint="eastAsia" w:ascii="仿宋_GB2312" w:eastAsia="仿宋_GB2312"/>
          <w:sz w:val="32"/>
          <w:szCs w:val="32"/>
        </w:rPr>
        <w:t>%，其中：授予小微企业合同金额</w:t>
      </w:r>
      <w:r>
        <w:rPr>
          <w:rFonts w:ascii="仿宋_GB2312" w:eastAsia="仿宋_GB2312"/>
          <w:sz w:val="32"/>
          <w:szCs w:val="32"/>
        </w:rPr>
        <w:t>1,399.60</w:t>
      </w:r>
      <w:r>
        <w:rPr>
          <w:rFonts w:hint="eastAsia" w:ascii="仿宋_GB2312" w:eastAsia="仿宋_GB2312"/>
          <w:sz w:val="32"/>
          <w:szCs w:val="32"/>
        </w:rPr>
        <w:t>万元，占政府采购支出总额的</w:t>
      </w:r>
      <w:r>
        <w:rPr>
          <w:rFonts w:ascii="仿宋_GB2312" w:eastAsia="仿宋_GB2312"/>
          <w:sz w:val="32"/>
          <w:szCs w:val="32"/>
        </w:rPr>
        <w:t>100.00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24" w:name="_Toc8391"/>
      <w:bookmarkStart w:id="25" w:name="_Toc4591"/>
      <w:r>
        <w:rPr>
          <w:rFonts w:hint="eastAsia" w:ascii="黑体" w:hAnsi="黑体" w:eastAsia="黑体"/>
          <w:sz w:val="32"/>
          <w:szCs w:val="32"/>
        </w:rPr>
        <w:t>（三）国有资产占用情况说明</w:t>
      </w:r>
      <w:bookmarkEnd w:id="24"/>
      <w:bookmarkEnd w:id="25"/>
    </w:p>
    <w:p>
      <w:pPr>
        <w:ind w:firstLine="640" w:firstLineChars="200"/>
        <w:rPr>
          <w:rFonts w:ascii="仿宋_GB2312" w:eastAsia="仿宋_GB2312"/>
          <w:sz w:val="32"/>
          <w:szCs w:val="32"/>
        </w:rPr>
      </w:pPr>
      <w:r>
        <w:rPr>
          <w:rFonts w:hint="eastAsia" w:ascii="仿宋_GB2312" w:eastAsia="仿宋_GB2312"/>
          <w:sz w:val="32"/>
          <w:szCs w:val="32"/>
        </w:rPr>
        <w:t>截止2022年12月31日，固定资产原值917.84万元，房屋</w:t>
      </w:r>
      <w:r>
        <w:rPr>
          <w:rFonts w:ascii="仿宋_GB2312" w:eastAsia="仿宋_GB2312"/>
          <w:sz w:val="32"/>
          <w:szCs w:val="32"/>
        </w:rPr>
        <w:t>2,279.49</w:t>
      </w:r>
      <w:r>
        <w:rPr>
          <w:rFonts w:hint="eastAsia" w:ascii="仿宋_GB2312" w:eastAsia="仿宋_GB2312"/>
          <w:sz w:val="32"/>
          <w:szCs w:val="32"/>
        </w:rPr>
        <w:t>平方米，价值</w:t>
      </w:r>
      <w:r>
        <w:rPr>
          <w:rFonts w:ascii="仿宋_GB2312" w:eastAsia="仿宋_GB2312"/>
          <w:sz w:val="32"/>
          <w:szCs w:val="32"/>
        </w:rPr>
        <w:t>610.52</w:t>
      </w:r>
      <w:r>
        <w:rPr>
          <w:rFonts w:hint="eastAsia" w:ascii="仿宋_GB2312" w:eastAsia="仿宋_GB2312"/>
          <w:sz w:val="32"/>
          <w:szCs w:val="32"/>
        </w:rPr>
        <w:t>万元。车辆</w:t>
      </w:r>
      <w:r>
        <w:rPr>
          <w:rFonts w:ascii="仿宋_GB2312" w:eastAsia="仿宋_GB2312"/>
          <w:sz w:val="32"/>
          <w:szCs w:val="32"/>
        </w:rPr>
        <w:t>8</w:t>
      </w:r>
      <w:r>
        <w:rPr>
          <w:rFonts w:hint="eastAsia" w:ascii="仿宋_GB2312" w:eastAsia="仿宋_GB2312"/>
          <w:sz w:val="32"/>
          <w:szCs w:val="32"/>
        </w:rPr>
        <w:t>辆，价值</w:t>
      </w:r>
      <w:r>
        <w:rPr>
          <w:rFonts w:ascii="仿宋_GB2312" w:eastAsia="仿宋_GB2312"/>
          <w:sz w:val="32"/>
          <w:szCs w:val="32"/>
        </w:rPr>
        <w:t>137.70</w:t>
      </w:r>
      <w:r>
        <w:rPr>
          <w:rFonts w:hint="eastAsia" w:ascii="仿宋_GB2312" w:eastAsia="仿宋_GB2312"/>
          <w:sz w:val="32"/>
          <w:szCs w:val="32"/>
        </w:rPr>
        <w:t>万元，其中：副部（省）级及以上领导用车0辆、主要领导干部用车2辆、机要通信用车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6</w:t>
      </w:r>
      <w:r>
        <w:rPr>
          <w:rFonts w:hint="eastAsia" w:ascii="仿宋_GB2312" w:eastAsia="仿宋_GB2312"/>
          <w:sz w:val="32"/>
          <w:szCs w:val="32"/>
        </w:rPr>
        <w:t>辆，其他用车主要是：一般公务用车；单价100万元（含）以上设备（不含车辆）</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26" w:name="_Toc11283"/>
      <w:bookmarkStart w:id="27" w:name="_Toc435"/>
      <w:r>
        <w:rPr>
          <w:rFonts w:hint="eastAsia" w:ascii="黑体" w:hAnsi="黑体" w:eastAsia="黑体" w:cs="宋体"/>
          <w:bCs/>
          <w:kern w:val="0"/>
          <w:sz w:val="32"/>
          <w:szCs w:val="32"/>
        </w:rPr>
        <w:t>十一、预算绩效的情况说明</w:t>
      </w:r>
      <w:bookmarkEnd w:id="26"/>
      <w:bookmarkEnd w:id="27"/>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w:t>
      </w:r>
      <w:r>
        <w:rPr>
          <w:rFonts w:ascii="仿宋_GB2312" w:eastAsia="仿宋_GB2312"/>
          <w:sz w:val="32"/>
          <w:szCs w:val="32"/>
        </w:rPr>
        <w:t>2022</w:t>
      </w:r>
      <w:r>
        <w:rPr>
          <w:rFonts w:hint="eastAsia" w:ascii="仿宋_GB2312" w:eastAsia="仿宋_GB2312"/>
          <w:sz w:val="32"/>
          <w:szCs w:val="32"/>
        </w:rPr>
        <w:t>年度开展预算绩效评价项目</w:t>
      </w:r>
      <w:r>
        <w:rPr>
          <w:rFonts w:ascii="仿宋_GB2312" w:eastAsia="仿宋_GB2312"/>
          <w:sz w:val="32"/>
          <w:szCs w:val="32"/>
        </w:rPr>
        <w:t>2</w:t>
      </w:r>
      <w:r>
        <w:rPr>
          <w:rFonts w:hint="eastAsia" w:ascii="仿宋_GB2312" w:eastAsia="仿宋_GB2312"/>
          <w:sz w:val="32"/>
          <w:szCs w:val="32"/>
        </w:rPr>
        <w:t>个，全年预算数538.85万元，全年执行数538.85万元。预算绩效管理取得的成效：</w:t>
      </w:r>
      <w:r>
        <w:rPr>
          <w:rFonts w:ascii="仿宋_GB2312" w:eastAsia="仿宋_GB2312"/>
          <w:sz w:val="32"/>
          <w:szCs w:val="32"/>
        </w:rPr>
        <w:t>我单位资金运行维护决策正确，资金管理规范，项目管理到位，政策执行有力，有效发挥了财政资金的使用效率。一是严格了预算管理，预算执行方面，支出总额控制在预算总额以内；预算管理方面，制度执行总体较为有效；二是健全了内部控制制度</w:t>
      </w:r>
      <w:r>
        <w:rPr>
          <w:rFonts w:hint="eastAsia" w:ascii="仿宋_GB2312" w:eastAsia="仿宋_GB2312"/>
          <w:sz w:val="32"/>
          <w:szCs w:val="32"/>
        </w:rPr>
        <w:t>。发现的问题及原因：</w:t>
      </w:r>
      <w:r>
        <w:rPr>
          <w:rFonts w:ascii="仿宋_GB2312" w:eastAsia="仿宋_GB2312"/>
          <w:sz w:val="32"/>
          <w:szCs w:val="32"/>
        </w:rPr>
        <w:t>一是对个别项目资金使用方面预算不够细致，缺乏预算编制的科学性；二是预算绩效管理水平仍有欠缺。在2022年预算绩效管理工作中，存在“重投入轻管理、重支出轻绩效”的情况，对全面实施预算绩效管理的要求认识还不到位，项目申报、实施等环节与预算绩效管理各个环节联系不够紧密；同时预算绩效管理也是一项新工作，面对专业人手不足、绩效管理水平欠缺的情况下</w:t>
      </w:r>
      <w:r>
        <w:rPr>
          <w:rFonts w:hint="eastAsia" w:ascii="仿宋_GB2312" w:eastAsia="仿宋_GB2312"/>
          <w:sz w:val="32"/>
          <w:szCs w:val="32"/>
        </w:rPr>
        <w:t>。下一步改进措施：</w:t>
      </w:r>
      <w:r>
        <w:rPr>
          <w:rFonts w:ascii="仿宋_GB2312" w:eastAsia="仿宋_GB2312"/>
          <w:sz w:val="32"/>
          <w:szCs w:val="32"/>
        </w:rPr>
        <w:t>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eastAsia="仿宋_GB2312"/>
          <w:sz w:val="32"/>
          <w:szCs w:val="32"/>
          <w:lang w:eastAsia="zh-CN"/>
        </w:rPr>
        <w:t>地</w:t>
      </w:r>
      <w:r>
        <w:rPr>
          <w:rFonts w:ascii="仿宋_GB2312" w:eastAsia="仿宋_GB2312"/>
          <w:sz w:val="32"/>
          <w:szCs w:val="32"/>
        </w:rPr>
        <w:t>开展提供帮助。三是从源头上强化对专项资金预算管理，实行专项资金预算管理，结合单位实际,按轻重缓急统筹安排编制预算,提高预算编制科学性和合理性，优化资金结构</w:t>
      </w:r>
      <w:r>
        <w:rPr>
          <w:rFonts w:hint="eastAsia" w:ascii="仿宋_GB2312" w:eastAsia="仿宋_GB2312"/>
          <w:sz w:val="32"/>
          <w:szCs w:val="32"/>
        </w:rPr>
        <w:t>。具体项目自评情况附项目支出绩效自评表。</w:t>
      </w:r>
    </w:p>
    <w:p>
      <w:pPr>
        <w:widowControl/>
        <w:jc w:val="left"/>
        <w:rPr>
          <w:rFonts w:ascii="黑体" w:hAnsi="黑体" w:eastAsia="黑体"/>
          <w:sz w:val="32"/>
          <w:szCs w:val="32"/>
        </w:rPr>
      </w:pPr>
      <w:bookmarkStart w:id="28" w:name="_Toc24143"/>
      <w:bookmarkStart w:id="29" w:name="_Toc3250"/>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2021年度国有农用地管理工作经费</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察布查尔锡伯自治县自然资源局</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目标1：2021年度国有农用地管理费单位个数1家。</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目标2：加快经济发展、全力推动经济高质量运行。</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项目已完成2021年度国有农用地管理费单位个数1家。</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加快经济发展、全力推动经济高质量运行。</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2021年度国有农用地管理费单位个数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=1家</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1家</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管理2021年度国有农用地面积</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&gt;=27.40万亩</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27.4万亩</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资金使用合规率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资金支付及时率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2021年度国有农用地管理费成本</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&lt;=30万元/家</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30万元/家</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加快经济发展、全力推动经济高质量运行</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&gt;=98%</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98%</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改善投资环境、创新招商引资方式</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&gt;=98%</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98%</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生态效益指标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群众满意度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伊犁州察布查尔锡伯自治县孙扎齐牛录镇耕地储备区提质改造项目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察布查尔锡伯自治县自然资源局</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508.85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508.85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508.85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508.85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目标1：新增耕地4000亩，项目验收合格率达到100%。</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目标2：确保备案的补充耕地数量、质量和水田真实可靠。通过项目实施，提高耕地质量。</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项目已完成新增耕地4000亩，项目验收合格率达到100%。 确保备案的补充耕地数量、质量和水田真实可靠。通过项目实施，提高耕地质量。</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新增耕地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&gt;=4000亩</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4000亩</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项目验收合格率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耕地使用率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耕地质量保障率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新增耕地及时率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工程施工费</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&lt;=500万元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500万元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竣工决算审计费</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&lt;=8.85万元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8.85万元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提升粮食综合生产力能力</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有效提高</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生态效益指标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保障耕地质量</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有效保障</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受益群众满意度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&gt;=96%</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96%</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第三部分 专业名词解释</w:t>
      </w:r>
      <w:bookmarkEnd w:id="28"/>
      <w:bookmarkEnd w:id="29"/>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bookmarkStart w:id="30" w:name="_Toc28903"/>
      <w:bookmarkStart w:id="31" w:name="_Toc22784"/>
      <w:r>
        <w:rPr>
          <w:rFonts w:hint="eastAsia" w:ascii="黑体" w:hAnsi="黑体" w:eastAsia="黑体"/>
          <w:sz w:val="32"/>
          <w:szCs w:val="32"/>
        </w:rPr>
        <w:br w:type="page"/>
      </w:r>
      <w:r>
        <w:rPr>
          <w:rFonts w:hint="eastAsia" w:ascii="黑体" w:hAnsi="黑体" w:eastAsia="黑体"/>
          <w:sz w:val="32"/>
          <w:szCs w:val="32"/>
        </w:rPr>
        <w:t>第四部分 部门决算报表（见附表）</w:t>
      </w:r>
      <w:bookmarkEnd w:id="30"/>
      <w:bookmarkEnd w:id="31"/>
    </w:p>
    <w:p>
      <w:pPr>
        <w:ind w:firstLine="640" w:firstLineChars="200"/>
        <w:outlineLvl w:val="1"/>
        <w:rPr>
          <w:rFonts w:ascii="黑体" w:hAnsi="黑体" w:eastAsia="黑体" w:cs="宋体"/>
          <w:bCs/>
          <w:kern w:val="0"/>
          <w:sz w:val="32"/>
          <w:szCs w:val="32"/>
        </w:rPr>
      </w:pPr>
      <w:bookmarkStart w:id="32" w:name="_Toc2183"/>
      <w:bookmarkStart w:id="33" w:name="_Toc6062"/>
      <w:r>
        <w:rPr>
          <w:rFonts w:hint="eastAsia" w:ascii="黑体" w:hAnsi="黑体" w:eastAsia="黑体" w:cs="宋体"/>
          <w:bCs/>
          <w:kern w:val="0"/>
          <w:sz w:val="32"/>
          <w:szCs w:val="32"/>
        </w:rPr>
        <w:t>一、《收入支出决算总表》</w:t>
      </w:r>
      <w:bookmarkEnd w:id="32"/>
      <w:bookmarkEnd w:id="33"/>
    </w:p>
    <w:p>
      <w:pPr>
        <w:ind w:firstLine="640" w:firstLineChars="200"/>
        <w:outlineLvl w:val="1"/>
        <w:rPr>
          <w:rFonts w:ascii="黑体" w:hAnsi="黑体" w:eastAsia="黑体" w:cs="宋体"/>
          <w:bCs/>
          <w:kern w:val="0"/>
          <w:sz w:val="32"/>
          <w:szCs w:val="32"/>
        </w:rPr>
      </w:pPr>
      <w:bookmarkStart w:id="34" w:name="_Toc30364"/>
      <w:bookmarkStart w:id="35" w:name="_Toc24532"/>
      <w:r>
        <w:rPr>
          <w:rFonts w:hint="eastAsia" w:ascii="黑体" w:hAnsi="黑体" w:eastAsia="黑体" w:cs="宋体"/>
          <w:bCs/>
          <w:kern w:val="0"/>
          <w:sz w:val="32"/>
          <w:szCs w:val="32"/>
        </w:rPr>
        <w:t>二、《收入决算表》</w:t>
      </w:r>
      <w:bookmarkEnd w:id="34"/>
      <w:bookmarkEnd w:id="35"/>
    </w:p>
    <w:p>
      <w:pPr>
        <w:ind w:firstLine="640" w:firstLineChars="200"/>
        <w:outlineLvl w:val="1"/>
        <w:rPr>
          <w:rFonts w:ascii="黑体" w:hAnsi="黑体" w:eastAsia="黑体" w:cs="宋体"/>
          <w:bCs/>
          <w:kern w:val="0"/>
          <w:sz w:val="32"/>
          <w:szCs w:val="32"/>
        </w:rPr>
      </w:pPr>
      <w:bookmarkStart w:id="36" w:name="_Toc21304"/>
      <w:bookmarkStart w:id="37" w:name="_Toc32434"/>
      <w:r>
        <w:rPr>
          <w:rFonts w:hint="eastAsia" w:ascii="黑体" w:hAnsi="黑体" w:eastAsia="黑体" w:cs="宋体"/>
          <w:bCs/>
          <w:kern w:val="0"/>
          <w:sz w:val="32"/>
          <w:szCs w:val="32"/>
        </w:rPr>
        <w:t>三、《支出决算表》</w:t>
      </w:r>
      <w:bookmarkEnd w:id="36"/>
      <w:bookmarkEnd w:id="37"/>
    </w:p>
    <w:p>
      <w:pPr>
        <w:ind w:firstLine="640" w:firstLineChars="200"/>
        <w:outlineLvl w:val="1"/>
        <w:rPr>
          <w:rFonts w:ascii="黑体" w:hAnsi="黑体" w:eastAsia="黑体" w:cs="宋体"/>
          <w:bCs/>
          <w:kern w:val="0"/>
          <w:sz w:val="32"/>
          <w:szCs w:val="32"/>
        </w:rPr>
      </w:pPr>
      <w:bookmarkStart w:id="38" w:name="_Toc28786"/>
      <w:bookmarkStart w:id="39" w:name="_Toc14238"/>
      <w:r>
        <w:rPr>
          <w:rFonts w:hint="eastAsia" w:ascii="黑体" w:hAnsi="黑体" w:eastAsia="黑体" w:cs="宋体"/>
          <w:bCs/>
          <w:kern w:val="0"/>
          <w:sz w:val="32"/>
          <w:szCs w:val="32"/>
        </w:rPr>
        <w:t>四、《财政拨款收入支出决算总表》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14869"/>
      <w:bookmarkStart w:id="41" w:name="_Toc10347"/>
      <w:r>
        <w:rPr>
          <w:rFonts w:hint="eastAsia" w:ascii="黑体" w:hAnsi="黑体" w:eastAsia="黑体" w:cs="宋体"/>
          <w:bCs/>
          <w:kern w:val="0"/>
          <w:sz w:val="32"/>
          <w:szCs w:val="32"/>
        </w:rPr>
        <w:t>五、《一般公共预算财政拨款支出决算表》</w:t>
      </w:r>
      <w:bookmarkEnd w:id="40"/>
      <w:bookmarkEnd w:id="41"/>
    </w:p>
    <w:p>
      <w:pPr>
        <w:ind w:firstLine="640" w:firstLineChars="200"/>
        <w:outlineLvl w:val="1"/>
        <w:rPr>
          <w:rFonts w:ascii="黑体" w:hAnsi="黑体" w:eastAsia="黑体" w:cs="宋体"/>
          <w:bCs/>
          <w:kern w:val="0"/>
          <w:sz w:val="32"/>
          <w:szCs w:val="32"/>
        </w:rPr>
      </w:pPr>
      <w:bookmarkStart w:id="42" w:name="_Toc5626"/>
      <w:bookmarkStart w:id="43" w:name="_Toc8884"/>
      <w:r>
        <w:rPr>
          <w:rFonts w:hint="eastAsia" w:ascii="黑体" w:hAnsi="黑体" w:eastAsia="黑体" w:cs="宋体"/>
          <w:bCs/>
          <w:kern w:val="0"/>
          <w:sz w:val="32"/>
          <w:szCs w:val="32"/>
        </w:rPr>
        <w:t>六、《一般公共预算财政拨款基本支出决算表》</w:t>
      </w:r>
      <w:bookmarkEnd w:id="42"/>
      <w:bookmarkEnd w:id="4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七、</w:t>
      </w:r>
      <w:bookmarkStart w:id="44" w:name="_Toc29106"/>
      <w:bookmarkStart w:id="45" w:name="_Toc32663"/>
      <w:r>
        <w:rPr>
          <w:rFonts w:hint="eastAsia" w:ascii="黑体" w:hAnsi="黑体" w:eastAsia="黑体" w:cs="宋体"/>
          <w:bCs/>
          <w:kern w:val="0"/>
          <w:sz w:val="32"/>
          <w:szCs w:val="32"/>
        </w:rPr>
        <w:t>《财政拨款“三公”经费支出决算表》</w:t>
      </w:r>
      <w:bookmarkEnd w:id="44"/>
      <w:bookmarkEnd w:id="45"/>
    </w:p>
    <w:p>
      <w:pPr>
        <w:ind w:firstLine="640" w:firstLineChars="200"/>
        <w:outlineLvl w:val="1"/>
        <w:rPr>
          <w:rFonts w:ascii="黑体" w:hAnsi="黑体" w:eastAsia="黑体" w:cs="宋体"/>
          <w:bCs/>
          <w:kern w:val="0"/>
          <w:sz w:val="32"/>
          <w:szCs w:val="32"/>
        </w:rPr>
      </w:pPr>
      <w:bookmarkStart w:id="46" w:name="_Toc5453"/>
      <w:bookmarkStart w:id="47" w:name="_Toc7643"/>
      <w:r>
        <w:rPr>
          <w:rFonts w:hint="eastAsia" w:ascii="黑体" w:hAnsi="黑体" w:eastAsia="黑体" w:cs="宋体"/>
          <w:bCs/>
          <w:kern w:val="0"/>
          <w:sz w:val="32"/>
          <w:szCs w:val="32"/>
        </w:rPr>
        <w:t>八、《政府性基金预算财政拨款收入支出决算表》</w:t>
      </w:r>
      <w:bookmarkEnd w:id="46"/>
      <w:bookmarkEnd w:id="47"/>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p>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82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jYTI1ZmE5MGNmMWFhNDQ2Y2EwZDkyYjNmNDU1ODcifQ=="/>
  </w:docVars>
  <w:rsids>
    <w:rsidRoot w:val="00312C27"/>
    <w:rsid w:val="00012F23"/>
    <w:rsid w:val="00021E76"/>
    <w:rsid w:val="000229DC"/>
    <w:rsid w:val="0002765D"/>
    <w:rsid w:val="0003297B"/>
    <w:rsid w:val="000379B3"/>
    <w:rsid w:val="0005626F"/>
    <w:rsid w:val="000724E7"/>
    <w:rsid w:val="00073996"/>
    <w:rsid w:val="0008509D"/>
    <w:rsid w:val="00090520"/>
    <w:rsid w:val="000A0B31"/>
    <w:rsid w:val="000D2344"/>
    <w:rsid w:val="000D267C"/>
    <w:rsid w:val="000E75B2"/>
    <w:rsid w:val="000E7B17"/>
    <w:rsid w:val="00135BB7"/>
    <w:rsid w:val="0016194B"/>
    <w:rsid w:val="001762A3"/>
    <w:rsid w:val="00185C9C"/>
    <w:rsid w:val="001B0BD1"/>
    <w:rsid w:val="001B147B"/>
    <w:rsid w:val="001C3354"/>
    <w:rsid w:val="00215836"/>
    <w:rsid w:val="00221441"/>
    <w:rsid w:val="00224B57"/>
    <w:rsid w:val="002259E8"/>
    <w:rsid w:val="00235C0B"/>
    <w:rsid w:val="00240AA1"/>
    <w:rsid w:val="00263A81"/>
    <w:rsid w:val="00271C68"/>
    <w:rsid w:val="00294495"/>
    <w:rsid w:val="0029483B"/>
    <w:rsid w:val="002A2698"/>
    <w:rsid w:val="002B179F"/>
    <w:rsid w:val="002B6C9C"/>
    <w:rsid w:val="002D1584"/>
    <w:rsid w:val="00312C27"/>
    <w:rsid w:val="00352E78"/>
    <w:rsid w:val="00366326"/>
    <w:rsid w:val="003A21C7"/>
    <w:rsid w:val="003B1B1F"/>
    <w:rsid w:val="003C2E0F"/>
    <w:rsid w:val="003D686F"/>
    <w:rsid w:val="003F04B0"/>
    <w:rsid w:val="003F1325"/>
    <w:rsid w:val="003F3219"/>
    <w:rsid w:val="00411B2D"/>
    <w:rsid w:val="00435C19"/>
    <w:rsid w:val="00436039"/>
    <w:rsid w:val="00460D47"/>
    <w:rsid w:val="00484954"/>
    <w:rsid w:val="004A0689"/>
    <w:rsid w:val="004C2483"/>
    <w:rsid w:val="004C3288"/>
    <w:rsid w:val="004C4A14"/>
    <w:rsid w:val="004C6A74"/>
    <w:rsid w:val="004D41E0"/>
    <w:rsid w:val="0050663B"/>
    <w:rsid w:val="00517943"/>
    <w:rsid w:val="00531043"/>
    <w:rsid w:val="00531F92"/>
    <w:rsid w:val="00556D35"/>
    <w:rsid w:val="00557718"/>
    <w:rsid w:val="00561710"/>
    <w:rsid w:val="00571ACE"/>
    <w:rsid w:val="00572CBD"/>
    <w:rsid w:val="005A07B6"/>
    <w:rsid w:val="005A161C"/>
    <w:rsid w:val="005B643B"/>
    <w:rsid w:val="005C3DEB"/>
    <w:rsid w:val="005D0AD9"/>
    <w:rsid w:val="005D1C2D"/>
    <w:rsid w:val="005E3B4A"/>
    <w:rsid w:val="0060159A"/>
    <w:rsid w:val="00626A93"/>
    <w:rsid w:val="00656E06"/>
    <w:rsid w:val="00665BE8"/>
    <w:rsid w:val="00680772"/>
    <w:rsid w:val="006B52D5"/>
    <w:rsid w:val="006C27D5"/>
    <w:rsid w:val="006C2D78"/>
    <w:rsid w:val="006D1EE8"/>
    <w:rsid w:val="006E797E"/>
    <w:rsid w:val="006F4050"/>
    <w:rsid w:val="006F66CC"/>
    <w:rsid w:val="0071348F"/>
    <w:rsid w:val="00752DF5"/>
    <w:rsid w:val="00753B65"/>
    <w:rsid w:val="00760DE7"/>
    <w:rsid w:val="00761E0D"/>
    <w:rsid w:val="007649BA"/>
    <w:rsid w:val="007A247A"/>
    <w:rsid w:val="007A31DF"/>
    <w:rsid w:val="007B559C"/>
    <w:rsid w:val="007D31C5"/>
    <w:rsid w:val="007E0AAA"/>
    <w:rsid w:val="007E2227"/>
    <w:rsid w:val="007F2258"/>
    <w:rsid w:val="0081064F"/>
    <w:rsid w:val="0084474D"/>
    <w:rsid w:val="0089722A"/>
    <w:rsid w:val="008A0B2C"/>
    <w:rsid w:val="008A44AF"/>
    <w:rsid w:val="008B33C8"/>
    <w:rsid w:val="008D0631"/>
    <w:rsid w:val="00905908"/>
    <w:rsid w:val="00914C96"/>
    <w:rsid w:val="00926C84"/>
    <w:rsid w:val="00927CCC"/>
    <w:rsid w:val="00955F5A"/>
    <w:rsid w:val="00986787"/>
    <w:rsid w:val="009C08BE"/>
    <w:rsid w:val="00A22AE4"/>
    <w:rsid w:val="00A347A6"/>
    <w:rsid w:val="00A3556A"/>
    <w:rsid w:val="00A636E4"/>
    <w:rsid w:val="00A87103"/>
    <w:rsid w:val="00AB776D"/>
    <w:rsid w:val="00AC1E96"/>
    <w:rsid w:val="00AE1570"/>
    <w:rsid w:val="00B03B50"/>
    <w:rsid w:val="00B33BF0"/>
    <w:rsid w:val="00B35A42"/>
    <w:rsid w:val="00B4517D"/>
    <w:rsid w:val="00B53821"/>
    <w:rsid w:val="00B92C80"/>
    <w:rsid w:val="00BA3B30"/>
    <w:rsid w:val="00BC6347"/>
    <w:rsid w:val="00BC69BD"/>
    <w:rsid w:val="00BD3218"/>
    <w:rsid w:val="00BD5200"/>
    <w:rsid w:val="00BE4763"/>
    <w:rsid w:val="00BF7AA6"/>
    <w:rsid w:val="00C0408D"/>
    <w:rsid w:val="00C23286"/>
    <w:rsid w:val="00C25C01"/>
    <w:rsid w:val="00C37871"/>
    <w:rsid w:val="00C65103"/>
    <w:rsid w:val="00C66483"/>
    <w:rsid w:val="00C7153E"/>
    <w:rsid w:val="00C72285"/>
    <w:rsid w:val="00C77B7E"/>
    <w:rsid w:val="00C90C12"/>
    <w:rsid w:val="00CA6634"/>
    <w:rsid w:val="00CB036E"/>
    <w:rsid w:val="00CD3225"/>
    <w:rsid w:val="00CF5B51"/>
    <w:rsid w:val="00CF7E34"/>
    <w:rsid w:val="00D020FB"/>
    <w:rsid w:val="00D25150"/>
    <w:rsid w:val="00D41FF8"/>
    <w:rsid w:val="00D45561"/>
    <w:rsid w:val="00D6005A"/>
    <w:rsid w:val="00D6267B"/>
    <w:rsid w:val="00D64C5E"/>
    <w:rsid w:val="00D66A40"/>
    <w:rsid w:val="00D76208"/>
    <w:rsid w:val="00D8609B"/>
    <w:rsid w:val="00DA3B1B"/>
    <w:rsid w:val="00DF2FD8"/>
    <w:rsid w:val="00E04D53"/>
    <w:rsid w:val="00E2268A"/>
    <w:rsid w:val="00E25E17"/>
    <w:rsid w:val="00E3623A"/>
    <w:rsid w:val="00E45222"/>
    <w:rsid w:val="00EB34D7"/>
    <w:rsid w:val="00EC60C6"/>
    <w:rsid w:val="00EE4EA5"/>
    <w:rsid w:val="00EE6071"/>
    <w:rsid w:val="00F0691A"/>
    <w:rsid w:val="00F20986"/>
    <w:rsid w:val="00F20EB6"/>
    <w:rsid w:val="00F216E3"/>
    <w:rsid w:val="00F26856"/>
    <w:rsid w:val="00F30DDE"/>
    <w:rsid w:val="00F53C2D"/>
    <w:rsid w:val="00F66B7F"/>
    <w:rsid w:val="00F7210D"/>
    <w:rsid w:val="00F8314A"/>
    <w:rsid w:val="00F876D7"/>
    <w:rsid w:val="00F91E81"/>
    <w:rsid w:val="00F95054"/>
    <w:rsid w:val="00FF6A37"/>
    <w:rsid w:val="034D4FEF"/>
    <w:rsid w:val="043E5B56"/>
    <w:rsid w:val="06792773"/>
    <w:rsid w:val="0A7B4867"/>
    <w:rsid w:val="0AE83DE6"/>
    <w:rsid w:val="0B8C3ECC"/>
    <w:rsid w:val="0BBA0A81"/>
    <w:rsid w:val="0C7227A7"/>
    <w:rsid w:val="0DA014E7"/>
    <w:rsid w:val="0F3317C1"/>
    <w:rsid w:val="12386E6F"/>
    <w:rsid w:val="14155180"/>
    <w:rsid w:val="15F06E99"/>
    <w:rsid w:val="1C7A04C1"/>
    <w:rsid w:val="1DAF458D"/>
    <w:rsid w:val="20DD6197"/>
    <w:rsid w:val="21A91B81"/>
    <w:rsid w:val="222A65E3"/>
    <w:rsid w:val="23BC04D2"/>
    <w:rsid w:val="23FB0802"/>
    <w:rsid w:val="277F0ACA"/>
    <w:rsid w:val="27CF2642"/>
    <w:rsid w:val="2A053397"/>
    <w:rsid w:val="2D1136DF"/>
    <w:rsid w:val="2DD47676"/>
    <w:rsid w:val="2E743C6A"/>
    <w:rsid w:val="2F916B46"/>
    <w:rsid w:val="2FD27414"/>
    <w:rsid w:val="2FD45ADE"/>
    <w:rsid w:val="31C63837"/>
    <w:rsid w:val="35FB19DD"/>
    <w:rsid w:val="3914510A"/>
    <w:rsid w:val="393507C5"/>
    <w:rsid w:val="3B12207E"/>
    <w:rsid w:val="3B3C07D5"/>
    <w:rsid w:val="3D2A665C"/>
    <w:rsid w:val="3D5275AC"/>
    <w:rsid w:val="40834692"/>
    <w:rsid w:val="41A84A67"/>
    <w:rsid w:val="448437A4"/>
    <w:rsid w:val="44F4368F"/>
    <w:rsid w:val="454126C2"/>
    <w:rsid w:val="45E16709"/>
    <w:rsid w:val="46901EEE"/>
    <w:rsid w:val="469C74D2"/>
    <w:rsid w:val="47A53BB1"/>
    <w:rsid w:val="49B933AA"/>
    <w:rsid w:val="4A6B0F8B"/>
    <w:rsid w:val="4B4C0111"/>
    <w:rsid w:val="50DB5F45"/>
    <w:rsid w:val="52F92565"/>
    <w:rsid w:val="55CE6BE9"/>
    <w:rsid w:val="57E43B01"/>
    <w:rsid w:val="583059FA"/>
    <w:rsid w:val="5ABB586A"/>
    <w:rsid w:val="5FA17648"/>
    <w:rsid w:val="61A46A97"/>
    <w:rsid w:val="62DD7D21"/>
    <w:rsid w:val="65D97752"/>
    <w:rsid w:val="68DB0208"/>
    <w:rsid w:val="69AD798C"/>
    <w:rsid w:val="6B68175F"/>
    <w:rsid w:val="6E0F7A08"/>
    <w:rsid w:val="71473612"/>
    <w:rsid w:val="718F7F65"/>
    <w:rsid w:val="73F7554E"/>
    <w:rsid w:val="73FB6630"/>
    <w:rsid w:val="74E76DCD"/>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5"/>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character" w:styleId="11">
    <w:name w:val="annotation reference"/>
    <w:basedOn w:val="10"/>
    <w:qFormat/>
    <w:uiPriority w:val="0"/>
    <w:rPr>
      <w:sz w:val="21"/>
      <w:szCs w:val="21"/>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ug-CN"/>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character" w:customStyle="1" w:styleId="15">
    <w:name w:val="批注框文本 字符"/>
    <w:basedOn w:val="10"/>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D386D7B-2C19-4270-9E89-7B35BDE3D0FD}">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19</Pages>
  <Words>1677</Words>
  <Characters>9560</Characters>
  <Lines>79</Lines>
  <Paragraphs>22</Paragraphs>
  <TotalTime>6</TotalTime>
  <ScaleCrop>false</ScaleCrop>
  <LinksUpToDate>false</LinksUpToDate>
  <CharactersWithSpaces>11215</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dcterms:modified xsi:type="dcterms:W3CDTF">2023-09-20T04:27:00Z</dcterms:modified>
  <cp:revision>161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AADC6923CB46419093C9A2AA949091FC_13</vt:lpwstr>
  </property>
</Properties>
</file>