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ind w:left="0" w:firstLine="0"/>
        <w:jc w:val="center"/>
        <w:rPr>
          <w:rFonts w:hint="default" w:ascii="Ã¥Â¾Â®Ã¨Â½Â¯Ã©â€ºâ€¦Ã©Â»â€˜" w:hAnsi="Ã¥Â¾Â®Ã¨Â½Â¯Ã©â€ºâ€¦Ã©Â»â€˜" w:eastAsia="Ã¥Â¾Â®Ã¨Â½Â¯Ã©â€ºâ€¦Ã©Â»â€˜" w:cs="Ã¥Â¾Â®Ã¨Â½Â¯Ã©â€ºâ€¦Ã©Â»â€˜"/>
          <w:i w:val="0"/>
          <w:caps w:val="0"/>
          <w:color w:val="888888"/>
          <w:spacing w:val="0"/>
          <w:sz w:val="21"/>
          <w:szCs w:val="21"/>
        </w:rPr>
      </w:pP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begin"/>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instrText xml:space="preserve"> HYPERLINK "http://www.zgtks.gov.cn/zgtks/ylfw/202205/df055e5ab6f34693976498ca9a605cb4.shtml" </w:instrText>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separate"/>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end"/>
      </w:r>
    </w:p>
    <w:p>
      <w:pPr>
        <w:pStyle w:val="3"/>
        <w:keepNext w:val="0"/>
        <w:keepLines w:val="0"/>
        <w:widowControl/>
        <w:suppressLineNumbers w:val="0"/>
        <w:spacing w:before="0" w:beforeAutospacing="0" w:after="0" w:afterAutospacing="0" w:line="800" w:lineRule="atLeast"/>
        <w:ind w:left="0" w:right="0"/>
        <w:jc w:val="center"/>
        <w:rPr>
          <w:rFonts w:ascii="Calibri" w:hAnsi="Calibri" w:cs="Calibri"/>
          <w:sz w:val="21"/>
          <w:szCs w:val="21"/>
        </w:rPr>
      </w:pPr>
      <w:r>
        <w:rPr>
          <w:rFonts w:ascii="方正小标宋简体" w:hAnsi="方正小标宋简体" w:eastAsia="方正小标宋简体" w:cs="方正小标宋简体"/>
          <w:i w:val="0"/>
          <w:caps w:val="0"/>
          <w:color w:val="000000"/>
          <w:spacing w:val="0"/>
          <w:sz w:val="44"/>
          <w:szCs w:val="44"/>
          <w:shd w:val="clear" w:fill="FFFFFF"/>
        </w:rPr>
        <w:t>国务院办公厅关于建立健全养老服务综合监管制度促进养老服务高质量发展的意见</w:t>
      </w:r>
    </w:p>
    <w:p>
      <w:pPr>
        <w:pStyle w:val="3"/>
        <w:keepNext w:val="0"/>
        <w:keepLines w:val="0"/>
        <w:widowControl/>
        <w:suppressLineNumbers w:val="0"/>
        <w:spacing w:before="0" w:beforeAutospacing="0" w:after="0" w:afterAutospacing="0" w:line="800" w:lineRule="atLeast"/>
        <w:ind w:left="0" w:right="0"/>
        <w:jc w:val="center"/>
        <w:rPr>
          <w:rFonts w:hint="default" w:ascii="Calibri" w:hAnsi="Calibri" w:cs="Calibri"/>
          <w:sz w:val="21"/>
          <w:szCs w:val="21"/>
        </w:rPr>
      </w:pPr>
      <w:r>
        <w:rPr>
          <w:rFonts w:ascii="方正仿宋_GB2312" w:hAnsi="方正仿宋_GB2312" w:eastAsia="方正仿宋_GB2312" w:cs="方正仿宋_GB2312"/>
          <w:i w:val="0"/>
          <w:caps w:val="0"/>
          <w:color w:val="000000"/>
          <w:spacing w:val="0"/>
          <w:sz w:val="32"/>
          <w:szCs w:val="32"/>
          <w:shd w:val="clear" w:fill="FFFFFF"/>
        </w:rPr>
        <w:t>国办发〔</w:t>
      </w:r>
      <w:r>
        <w:rPr>
          <w:rFonts w:hint="default" w:ascii="方正仿宋_GB2312" w:hAnsi="方正仿宋_GB2312" w:eastAsia="方正仿宋_GB2312" w:cs="方正仿宋_GB2312"/>
          <w:i w:val="0"/>
          <w:caps w:val="0"/>
          <w:color w:val="000000"/>
          <w:spacing w:val="0"/>
          <w:sz w:val="32"/>
          <w:szCs w:val="32"/>
          <w:shd w:val="clear" w:fill="FFFFFF"/>
        </w:rPr>
        <w:t>2020〕48号</w:t>
      </w:r>
    </w:p>
    <w:p>
      <w:pPr>
        <w:pStyle w:val="3"/>
        <w:keepNext w:val="0"/>
        <w:keepLines w:val="0"/>
        <w:widowControl/>
        <w:suppressLineNumbers w:val="0"/>
        <w:spacing w:before="0" w:beforeAutospacing="0" w:after="0" w:afterAutospacing="0" w:line="525" w:lineRule="atLeast"/>
        <w:ind w:left="0" w:right="0"/>
        <w:jc w:val="both"/>
        <w:rPr>
          <w:rFonts w:hint="default" w:ascii="Calibri" w:hAnsi="Calibri" w:cs="Calibri"/>
          <w:sz w:val="21"/>
          <w:szCs w:val="21"/>
        </w:rPr>
      </w:pPr>
    </w:p>
    <w:p>
      <w:pPr>
        <w:pStyle w:val="3"/>
        <w:keepNext w:val="0"/>
        <w:keepLines w:val="0"/>
        <w:widowControl/>
        <w:suppressLineNumbers w:val="0"/>
        <w:spacing w:before="0" w:beforeAutospacing="0" w:after="0" w:afterAutospacing="0" w:line="600" w:lineRule="atLeast"/>
        <w:ind w:left="0" w:right="0"/>
        <w:rPr>
          <w:sz w:val="21"/>
          <w:szCs w:val="21"/>
        </w:rPr>
      </w:pPr>
      <w:r>
        <w:rPr>
          <w:rFonts w:ascii="微软雅黑" w:hAnsi="微软雅黑" w:eastAsia="微软雅黑" w:cs="微软雅黑"/>
          <w:i w:val="0"/>
          <w:caps w:val="0"/>
          <w:color w:val="000000"/>
          <w:spacing w:val="0"/>
          <w:sz w:val="32"/>
          <w:szCs w:val="32"/>
          <w:shd w:val="clear" w:fill="FFFFFF"/>
        </w:rPr>
        <w:t>各省、自治区、直辖市人民政府，国务院各部委、各直属机构：</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党中央、国务院高度重视发展养老服务，着力构建居家社区机构相协调、医养康养相结合的养老服务体系，取得明显成效。为深入贯彻落实党的十九大和十九届二中、三中、四中、五中全会精神，深化“放管服”改革，加快形成高效规范、公平竞争的养老服务统一市场，建立健全养老服务综合监管制度，坚持公正监管、规范执法，不断优化营商环境，引导和激励养老服务机构诚信守法经营、积极转型升级、持续优化服务，更好适应养老服务高质量发展要求，更好满足人民群众日益增长的养老服务需求，经国务院同意，现提出以下意见。</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一、明确监管重点</w:t>
      </w:r>
      <w:bookmarkStart w:id="0" w:name="_GoBack"/>
      <w:bookmarkEnd w:id="0"/>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一)加强质量安全监管。按照“谁审批谁监管、谁主管谁监管”原则，引导养老服务机构(包括养老机构、居家社区养老服务机构。居家社区养老服务机构的认定办法由民政部另行制定)立足长期安全运营，落实安全责任，主动防范消除本机构在建筑、消防、食品、医疗卫生等方面的安全风险和隐患。民政部门会同住房城乡建设部门加强养老服务机构建筑使用安全检查，及时发现安全隐患，督促养老服务机构采取修缮、更换等措施整改消除。民政部门会同消防救援机构、住房城乡建设等有关部门抓好养老服务机构消防安全整治，摸清消防安全状况，建立隐患、整改、责任“三个清单”，对重大火灾隐患要提请政府挂牌督办、推动整改。督促指导养老服务机构落实食品安全责任，加强食品安全日常监督管理，开展养老服务机构食品安全风险监测。加强对养老机构内设医疗机构依法执业医疗，服务质量安全，采购和使用药品、耗材、医疗器械等相关产品的监督管理。</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二)加强从业人员监管。引导从业人员(包括养老服务机构的法定代表人、主要负责人、管理人员以及养老护理员等相关人员)自觉养成良好品行、掌握专业技能，提升服务质量和水平。养老服务机构应当制定员工守则，定期组织从业人员进行职业道德教育培训，提升从业人员职业道德水平。养老服务机构中从事医疗护理、康复治疗、消防管理等服务的专业技术人员，应当具备相关资格。加强养老护理员岗前职业技能培训及岗位职业技能提升培训，积极开展养老护理员职业技能等级认定工作。加强院校内老年服务与管理人才培养，实施职业技能水平评价。严格末端监督执法，依法依规加强对有关培训评价组织和职业技能等级证书的监管，防止出现乱培训、滥发证现象。依法依规从严惩处养老服务机构欺老、虐老等侵害老年人合法权益的行为，对相关责任人实施行业禁入措施。</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三)加强涉及资金监管。引导养老服务机构以合法合规方式筹集和使用养老服务涉及资金。加强对养老服务机构申领使用政府提供的建设运营补贴资金的监督管理，定期对养老服务机构申领使用补贴资金信息的真实性、准确性进行抽查、核查，依法打击以虚报冒领等方式骗取补贴资金的行为。加大对涉及使用财政资金的养老服务重点建设项目实施过程的真实性、合法性、效益性跟踪审计问效力度。加强对政府购买养老服务的监督管理，依法查处弄虚作假、挤占挪用等违法违规行为。加大对养老机构医保基金使用情况的监督管理力度，保障医保基金安全。加强对养老服务机构预收服务费用的规范管理。加强对金融机构开展养老服务领域金融产品、服务方式创新的监管。加大对以养老服务为名非法集资的风险排查力度，做好政策宣传和风险提示，依法打击养老服务机构以养老服务为名的非法集资活动。</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四)加强运营秩序监管。引导养老服务机构不断优化内部管理、规范服务行为，合理规避风险、妥善处置纠纷。养老机构应当在各出入口、接待大厅、值班室、楼道、食堂等公共场所和部位安装视频监控。养老机构应当建立健全内部管理档案，妥善保管异常事件报告、紧急呼叫记录、值班记录、交接班记录、门卫记录、视频监控记录等原始资料。严禁利用养老服务机构设施和场地开展与养老服务无关的活动，依法查处向老年人欺诈销售各类产品和服务的违法行为。依法查处养老服务设施用地单位未经批准改变规划确定的土地用途，以及非营利性养老服务机构擅自转让、出租、抵押划拨土地使用权的行为。指导养老机构按照国家有关规定和当事方协议约定提供服务，建立纠纷协商调解机制，引导老年人及其代理人依法维权。完善养老服务市场主体退出机制，指导退出的养老服务机构妥善做好老年人的服务协议解除、安置等工作，切实保障老年人合法权益。加强对民办非营利性养老服务机构退出财产处置的监管，防止因关联关系、利益输送、内部人控制等造成财产流失或者转移。依法打击无证无照从事养老服务的行为，对未依法取得营业执照以市场主体名义从事养老服务经营活动的，按照《无证无照经营查处办法》的有关规定查处;未经登记擅自以社会服务机构名义开展养老服务活动的，由民政部门依法查处;未经登记管理机关核准登记，擅自以事业单位法人名义开展养老服务活动的，由事业单位登记管理机关依法采取措施予以制止，并给予行政处罚。</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五)加强突发事件应对。引导养老服务机构增强风险防范意识和应对处置能力，尽可能减少突发事件造成的损失。建立完善养老服务机构突发事件的预防与应急准备、监测与预警、应急处置与救援、事后恢复与重建等工作机制。养老服务机构要依法制定自然灾害、事故灾难、公共卫生事件等突发事件应急预案，在场所内配备报警装置和必要的应急救援设备、设施，开展有关突发事件应急知识的宣传普及活动和必要的应急演练。养老服务机构要全面落实传染病疫情防控要求，坚持预防为主，指导老年人做好个人防护。养老服务机构发生或者可能发生传染病暴发或者流行、不明原因的群体性疾病、重大食物中毒事件的，应当依照《中华人民共和国突发事件应对法》、《中华人民共和国传染病防治法》、《突发公共卫生事件应急条例》等相关要求，向所在地县级卫生健康主管部门、疾病预防控制机构和民政部门报告，并在有关部门和机构指导下采取卫生处理、隔离等预防控制措施。养老服务机构发生生产安全事故的，应当依照生产安全事故报告和调查处理相关要求，向事故发生地县级以上应急管理部门和民政部门报告。</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二、落实监管责任</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六)强化政府主导责任。优化政府职责体系，深化养老服务领域“放管服”改革，充分发挥政府在制度建设、行业规划、行政执法等方面的主导作用。深化行政执法体制改革，最大限度减少不必要的行政执法事项。各相关部门要按照职责分工依法履行业务指导和监管职责，实行清单式监管，明确监管事项、监管措施、监管依据、监管流程，监管结果要及时、准确、规范向社会公开。</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七)压实机构主体责任。养老服务机构要坚持党的领导、加强党的建设，符合条件的要按照应建尽建原则及时建立党组织，充分发挥基层党组织战斗堡垒作用和党员先锋模范作用。养老服务机构对依法登记、备案承诺、履约服务、质量安全、应急管理、消防安全等承担主体责任，其主要负责人是第一责任人。养老服务机构应当不断提高养老服务、安全管理、风险防控、纠纷解决的能力和水平。</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八)发挥行业自律和社会监督作用。养老服务领域行业组织要积极推行行业信用承诺制度，健全行业自律规约，规范会员生产和经营行为，加强会员信用管理，推动行业自律体系建设;制定行业职业道德准则，规范从业人员职业行为，积极协调解决养老服务纠纷。加大养老服务领域信息公开力度，建立养老服务质量信息公开清单制度，督促养老服务机构通过书面告知、在机构显要位置设置公示栏等方式，主动公开其基本信息、规章制度、服务项目、收费标准等事项，畅通群众监督渠道。优化养老服务投诉举报受理流程，实现“民政牵头、归口负责”。坚持正面宣传和舆论监督相结合，宣传报道应实事求是、表述严谨，对捏造事实、制造谣言、造成严重社会影响的，依法追究有关人员责任。</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三、创新监管方式</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九)加强协同监管。健全各部门协调配合机制，实现违法线索互联、监管标准互通、处理结果互认，避免多头多层重复执法，切实减轻养老服务机构和从业人员负担。民政部门在监督检查中发现养老服务机构存在建筑、消防、食品、医疗卫生、环境保护、特种设备等方面安全隐患，应当立即督促养老服务机构采取措施消除隐患，并书面告知相关部门;对安全隐患突出或者情况紧急需要立即处置的，应当依法责令养老服务机构停业整顿或者采取紧急措施处置，并通知相关部门到场处理;对应当采取行政强制措施或者行政强制执行的，应当通知具备相应执法权限的部门或者申请人民法院依法处理。探索乡镇综合执法有效形式，将养老服务综合监管纳入由省级政府统一制定的赋权清单，建立健全乡镇政府与县级执法部门的协作机制。建立以“双随机、一公开”监管为基本手段、以重点监管为补充、以信用监管为基础的新型监管机制。省级相关部门要制定养老服务随机抽查事项清单，结合监管特点和需要，制定完善抽查工作细则，就抽查比例和频次、抽查方式、检查内容、检查流程等事项作出规定;统筹建立检查对象名录库和执法检查人员名录库，必要时可以吸纳检测机构、科研院所等参与。</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十)加强信用监管。依法依规实施守信联合激励和失信联合惩戒，引导养老服务机构诚信守法经营。以加强信用监管为着力点，创新监管理念、监管制度和监管方式，建立健全贯穿养老服务机构全生命周期，衔接事前、事中、事后全监管环节的新型监管机制。建立养老机构备案信用承诺制度，推动形成标准公开、规则公平、预期明确、各负其责的治理模式。备案申请人应当就养老机构按照建筑、消防、食品、医疗卫生等法律法规和国家有关标准开展服务活动提交书面承诺并向社会公开，将书面承诺履约情况记入信用记录;对违反承诺的，依法依规实施惩戒。全面建立养老服务市场主体信用记录，以统一社会信用代码为标识，整合形成完整的市场主体信用记录，并通过“信用中国”网站、国家企业信用信息公示系统或中国政府网及相关部门门户网站等渠道依法依规向社会公开，实现对违法失信行为信息的在线披露和信息共享。探索开展养老服务机构公共信用综合评价，相关部门要将“双随机、一公开”监管与评价结果相结合，根据养老服务机构信用等级高低采取差异化监管措施。</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十一)加强信息共享。大力推行“互联网+监管”，充分运用大数据等新技术手段，实现监管规范化、精准化、智能化，减少人为因素，实现公正监管，减少对监管对象的扰动。统筹运用养老服务领域政务数据资源和社会数据资源，推进数据统一和开放共享。民政部门要依托“金民工程”，及时采集养老服务机构基本信息、服务质量、运营情况、安全管理、补贴发放，以及养老护理员等从业人员职业技能等级、从业经历、职业信用等数据信息，形成养老服务机构组织信息基本数据集和养老从业人员基本数据集。卫生健康部门要依托基本公共卫生服务老年人健康管理项目，及时采集老年人健康管理信息，形成健康档案基本数据集。各部门要将涉及老年人相关信息向国家人口基础信息库汇聚，公安部门要依托国家人口基础信息库，形成老年人基本信息数据集。人力资源社会保障部门要依托社会保障卡应用推广工作，实现老年人社会保障信息在养老服务领域共享复用。加强养老服务机构信息联动机制，有关部门要将养老服务机构登记、备案、抽查检查结果、行政处罚、奖惩情况等信息，按照经营性质分别在中国社会组织公共服务平台、国家企业信用信息公示系统、事业单位在线网进行公示，形成养老服务主体登记和行政监管基本数据集。依托全国一体化政务服务平台和国家“互联网+监管”系统推进有关基本数据集共享，推动技术对接、数据汇聚和多场景使用，实现跨地区互通互认、信息一站式查询和综合监管“一张网”。</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十二)发挥标准规范引领作用。建立健全养老服务标准和评价体系，实施养老机构服务质量、安全基本规范等标准，引领养老服务高质量发展。养老服务设施应严格执行国家工程建设技术标准规范。养老机构内设医疗机构的，应当遵守《养老机构医务室基本标准(试行)》等相关要求。加快完善居家上门服务规范，提高社区养老设施设备配置和服务标准化水平。健全养老服务标准化组织体系，推进民政部门组建养老服务标准化技术委员会，加快研究制定养老服务质量、安全基本规范等方面地方标准。推动建立政府主导制定的标准与市场主体制定的标准协同发展、协调配套的新型标准体系，鼓励行业组织等社会团体制定发布养老服务和产品的团体标准，鼓励养老服务机构制定具有竞争力的企业标准，向高品质、多样化升级，助力培育养老服务新业态。</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四、加强保障和落实</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十三)加强组织领导。坚持党对养老服务工作的全面领导，把党的领导贯穿到养老服务综合监管全过程。各地区、各相关部门要认真落实党中央、国务院相关决策部署，按照本意见提出的各项措施和要求，制定配套措施，科学配置监管资源、统筹部署抓好落实。依托养老服务部际联席会议制度加强部门统筹协调，民政部要会同有关部门跟踪了解、督促检查本意见落实情况，确保各项措施落地见效。</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十四)提升执法水平。全面推行行政执法三项制度，强化对行政执法权力的制约和监督。加强行政执法人员业务培训，规范执法检查、立案、调查、审查、决定等程序和行为，提高行政执法人员的业务能力和执法水平。推动人财物等监管资源向基层下沉，加强依法履职所需的技术、设备、经费等方面的保障，推进执法装备标准化建设，提高现代科技手段在执法办案中的应用水平。</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十五)加大宣传力度。按照“谁执法谁普法”普法责任制要求，积极开展养老服务法治宣传教育。加强舆论引导，把推动养老服务综合监管工作与保障老年人合法权益和实现养老服务高质量发展相结合，积极营造敬老、爱老、助老社会氛围。各地区各部门要通过多种途径、采取多种形式宣传监管职责、措施、工作进展情况和成效，鼓励和引导全社会参与，推动形成关心、支持养老服务综合监管、促进养老服务高质量发展的良好氛围。</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附件：养老服务综合监管相关部门职责分工</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 </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 </w:t>
      </w:r>
    </w:p>
    <w:p>
      <w:pPr>
        <w:pStyle w:val="3"/>
        <w:keepNext w:val="0"/>
        <w:keepLines w:val="0"/>
        <w:widowControl/>
        <w:suppressLineNumbers w:val="0"/>
        <w:spacing w:before="0" w:beforeAutospacing="0" w:after="0" w:afterAutospacing="0" w:line="600" w:lineRule="atLeast"/>
        <w:ind w:left="0" w:right="0" w:firstLine="600"/>
        <w:jc w:val="right"/>
        <w:rPr>
          <w:sz w:val="21"/>
          <w:szCs w:val="21"/>
        </w:rPr>
      </w:pPr>
      <w:r>
        <w:rPr>
          <w:rFonts w:hint="eastAsia" w:ascii="微软雅黑" w:hAnsi="微软雅黑" w:eastAsia="微软雅黑" w:cs="微软雅黑"/>
          <w:i w:val="0"/>
          <w:caps w:val="0"/>
          <w:color w:val="000000"/>
          <w:spacing w:val="0"/>
          <w:sz w:val="32"/>
          <w:szCs w:val="32"/>
          <w:shd w:val="clear" w:fill="FFFFFF"/>
        </w:rPr>
        <w:t>                             国务院办公厅</w:t>
      </w:r>
    </w:p>
    <w:p>
      <w:pPr>
        <w:pStyle w:val="3"/>
        <w:keepNext w:val="0"/>
        <w:keepLines w:val="0"/>
        <w:widowControl/>
        <w:suppressLineNumbers w:val="0"/>
        <w:spacing w:before="0" w:beforeAutospacing="0" w:after="0" w:afterAutospacing="0" w:line="600" w:lineRule="atLeast"/>
        <w:ind w:left="0" w:right="0" w:firstLine="600"/>
        <w:jc w:val="right"/>
        <w:rPr>
          <w:sz w:val="21"/>
          <w:szCs w:val="21"/>
        </w:rPr>
      </w:pPr>
      <w:r>
        <w:rPr>
          <w:rFonts w:hint="eastAsia" w:ascii="微软雅黑" w:hAnsi="微软雅黑" w:eastAsia="微软雅黑" w:cs="微软雅黑"/>
          <w:i w:val="0"/>
          <w:caps w:val="0"/>
          <w:color w:val="000000"/>
          <w:spacing w:val="0"/>
          <w:sz w:val="32"/>
          <w:szCs w:val="32"/>
          <w:shd w:val="clear" w:fill="FFFFFF"/>
        </w:rPr>
        <w:t>                        2020年11月26日</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(此件公开发布)</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 </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附件1</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 </w:t>
      </w:r>
    </w:p>
    <w:p>
      <w:pPr>
        <w:pStyle w:val="3"/>
        <w:keepNext w:val="0"/>
        <w:keepLines w:val="0"/>
        <w:widowControl/>
        <w:suppressLineNumbers w:val="0"/>
        <w:spacing w:before="0" w:beforeAutospacing="0" w:after="0" w:afterAutospacing="0" w:line="600" w:lineRule="atLeast"/>
        <w:ind w:left="0" w:right="0" w:firstLine="600"/>
        <w:jc w:val="center"/>
        <w:rPr>
          <w:sz w:val="21"/>
          <w:szCs w:val="21"/>
        </w:rPr>
      </w:pPr>
      <w:r>
        <w:rPr>
          <w:rFonts w:hint="eastAsia" w:ascii="微软雅黑" w:hAnsi="微软雅黑" w:eastAsia="微软雅黑" w:cs="微软雅黑"/>
          <w:i w:val="0"/>
          <w:caps w:val="0"/>
          <w:color w:val="000000"/>
          <w:spacing w:val="0"/>
          <w:sz w:val="44"/>
          <w:szCs w:val="44"/>
          <w:shd w:val="clear" w:fill="FFFFFF"/>
        </w:rPr>
        <w:t>养老服务综合监管相关部门职责分工</w:t>
      </w:r>
    </w:p>
    <w:p>
      <w:pPr>
        <w:pStyle w:val="3"/>
        <w:keepNext w:val="0"/>
        <w:keepLines w:val="0"/>
        <w:widowControl/>
        <w:suppressLineNumbers w:val="0"/>
        <w:spacing w:before="0" w:beforeAutospacing="0" w:after="0" w:afterAutospacing="0" w:line="600" w:lineRule="atLeast"/>
        <w:ind w:left="0" w:right="0" w:firstLine="600"/>
        <w:rPr>
          <w:sz w:val="21"/>
          <w:szCs w:val="21"/>
        </w:rPr>
      </w:pP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发展改革部门依法负责对中央预算内投资支持的养老服务项目建设资金实施管理，对普惠性养老项目实施评估。</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教育部门依照权限负责管理监督考核院校内(技工院校除外)职业技能等级证书的实施。</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公安部门依法负责查处扰乱养老服务机构工作秩序，故意伤害、虐待老年人等侵犯老年人人身权利，以及以养老服务为名实施非法集资和诈骗等侵犯老年人财产权利的违法犯罪行为。加强人口管理信息的共享应用，提升行业监管能力和服务管理效率。</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民政部门依法负责对养老服务机构服务质量、安全、运营的监督管理，推进养老服务标准化体系建设，开展养老服务机构信用监管，以及对社会服务机构性质的养老服务机构和养老服务领域行业组织的登记管理和业务指导监督工作。</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财政部门负责会同发展改革部门、民政部门依法对养老服务机构建设补贴和运营补贴资金使用情况、政府购买养老服务进行监督管理。</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人力资源社会保障部依法负责会同民政部建立完善养老护理员国家职业技能标准，依照职责权限做好院校外和技工院校的职业技能等级证书的监督管理。推动社会保障卡在养老服务领域应用，加强老年人社会保障公共服务的信息共享。</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自然资源部门依法负责对养老服务机构规划用地等进行监督检查。</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生态环境部门依法负责对养老服务机构环境影响评价的审批或者备案，对养老服务机构污染物排放情况进行监督检查。</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住房城乡建设部门依法负责对养老服务设施工程建设质量安全的监督管理，依法负责养老服务设施工程建设标准规范的执行监督。</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卫生健康部门依法负责养老机构设立医疗机构的审批或者备案，对医疗机构的执业活动和医疗卫生服务质量进行监督管理。依法负责指导养老服务机构聚集性传染病处置、突发公共卫生事件的医疗卫生救援和应急工作。依法负责采集、汇聚、存储、应用、共享老年人基本健康医疗数据。</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应急管理部门负责按程序提请本级安全生产委员会将养老服务安全生产监督管理工作纳入对本级政府有关部门和下级人民政府年度安全生产考核。消防救援机构依法负责对养老服务机构实施消防监督检查。</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审计部门依法负责对财政资金的使用情况、政府购买养老服务进行监督检查。</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市场监管部门依法负责查处养老服务机构不执行政府定价、政府指导价和不按规定明码标价等价格违法行为，推动养老服务标准化工作，对营利性养老机构进行登记管理，对养老服务机构的特种设备安全、食品安全进行监督检查。</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医疗保障部门依法负责对纳入医保定点的养老机构内设医疗机构医保基金的使用进行监督管理。</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银保监部门依法负责对银行业、保险业金融机构参与养老服务市场相关行为进行监督管理。指导和督促银行、保险机构做好对涉嫌非法集资风险的排查。</w:t>
      </w:r>
    </w:p>
    <w:p>
      <w:pPr>
        <w:pStyle w:val="3"/>
        <w:keepNext w:val="0"/>
        <w:keepLines w:val="0"/>
        <w:widowControl/>
        <w:suppressLineNumbers w:val="0"/>
        <w:spacing w:before="0" w:beforeAutospacing="0" w:after="0" w:afterAutospacing="0" w:line="6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事业单位登记管理机关依法负责对公办养老机构进行登记管理。</w:t>
      </w:r>
    </w:p>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5A11F7"/>
    <w:rsid w:val="3D5A11F7"/>
    <w:rsid w:val="3FDD0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2023-08-15T10:17:00Z</dcterms:created>
  <dc:creator>燚</dc:creator>
  <cp:lastModifiedBy>燚</cp:lastModifiedBy>
  <dcterms:modified xsi:type="dcterms:W3CDTF">2023-08-15T10:31:09Z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