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bottom w:val="none" w:color="auto" w:sz="0" w:space="0"/>
        </w:pBdr>
        <w:spacing w:before="300" w:beforeAutospacing="0" w:after="0" w:afterAutospacing="0" w:line="750" w:lineRule="atLeast"/>
        <w:ind w:left="0" w:right="0"/>
        <w:jc w:val="center"/>
        <w:rPr>
          <w:rFonts w:hint="eastAsia" w:ascii="方正小标宋简体" w:hAnsi="方正小标宋简体" w:eastAsia="方正小标宋简体" w:cs="方正小标宋简体"/>
          <w:b w:val="0"/>
          <w:color w:val="333333"/>
          <w:sz w:val="48"/>
          <w:szCs w:val="48"/>
        </w:rPr>
      </w:pPr>
      <w:r>
        <w:rPr>
          <w:rFonts w:hint="eastAsia" w:ascii="方正小标宋简体" w:hAnsi="方正小标宋简体" w:eastAsia="方正小标宋简体" w:cs="方正小标宋简体"/>
          <w:b w:val="0"/>
          <w:i w:val="0"/>
          <w:caps w:val="0"/>
          <w:color w:val="333333"/>
          <w:spacing w:val="0"/>
          <w:sz w:val="48"/>
          <w:szCs w:val="48"/>
          <w:shd w:val="clear" w:fill="FFFFFF"/>
        </w:rPr>
        <w:t>养老机构管理办法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line="560" w:lineRule="exact"/>
        <w:ind w:left="0" w:firstLine="0"/>
        <w:jc w:val="center"/>
        <w:textAlignment w:val="auto"/>
        <w:rPr>
          <w:rFonts w:hint="eastAsia" w:ascii="仿宋_GB2312" w:hAnsi="仿宋_GB2312" w:eastAsia="仿宋_GB2312" w:cs="仿宋_GB2312"/>
          <w:i w:val="0"/>
          <w:caps w:val="0"/>
          <w:color w:val="888888"/>
          <w:spacing w:val="0"/>
          <w:sz w:val="32"/>
          <w:szCs w:val="32"/>
        </w:rPr>
      </w:pPr>
      <w:r>
        <w:rPr>
          <w:rFonts w:hint="eastAsia" w:ascii="仿宋_GB2312" w:hAnsi="仿宋_GB2312" w:eastAsia="仿宋_GB2312" w:cs="仿宋_GB2312"/>
          <w:i w:val="0"/>
          <w:caps w:val="0"/>
          <w:spacing w:val="0"/>
          <w:kern w:val="0"/>
          <w:sz w:val="32"/>
          <w:szCs w:val="32"/>
          <w:u w:val="none"/>
          <w:bdr w:val="none" w:color="auto" w:sz="0" w:space="0"/>
          <w:shd w:val="clear" w:fill="FFFFFF"/>
          <w:lang w:val="en-US" w:eastAsia="zh-CN" w:bidi="ar"/>
        </w:rPr>
        <w:fldChar w:fldCharType="begin"/>
      </w:r>
      <w:r>
        <w:rPr>
          <w:rFonts w:hint="eastAsia" w:ascii="仿宋_GB2312" w:hAnsi="仿宋_GB2312" w:eastAsia="仿宋_GB2312" w:cs="仿宋_GB2312"/>
          <w:i w:val="0"/>
          <w:caps w:val="0"/>
          <w:spacing w:val="0"/>
          <w:kern w:val="0"/>
          <w:sz w:val="32"/>
          <w:szCs w:val="32"/>
          <w:u w:val="none"/>
          <w:bdr w:val="none" w:color="auto" w:sz="0" w:space="0"/>
          <w:shd w:val="clear" w:fill="FFFFFF"/>
          <w:lang w:val="en-US" w:eastAsia="zh-CN" w:bidi="ar"/>
        </w:rPr>
        <w:instrText xml:space="preserve"> HYPERLINK "http://www.zgtks.gov.cn/zgtks/ylfw/202205/adfd629506cb4da89ce8db4076ab01f9.shtml" \o "分享到微信" </w:instrText>
      </w:r>
      <w:r>
        <w:rPr>
          <w:rFonts w:hint="eastAsia" w:ascii="仿宋_GB2312" w:hAnsi="仿宋_GB2312" w:eastAsia="仿宋_GB2312" w:cs="仿宋_GB2312"/>
          <w:i w:val="0"/>
          <w:caps w:val="0"/>
          <w:spacing w:val="0"/>
          <w:kern w:val="0"/>
          <w:sz w:val="32"/>
          <w:szCs w:val="32"/>
          <w:u w:val="none"/>
          <w:bdr w:val="none" w:color="auto" w:sz="0" w:space="0"/>
          <w:shd w:val="clear" w:fill="FFFFFF"/>
          <w:lang w:val="en-US" w:eastAsia="zh-CN" w:bidi="ar"/>
        </w:rPr>
        <w:fldChar w:fldCharType="separate"/>
      </w:r>
      <w:r>
        <w:rPr>
          <w:rFonts w:hint="eastAsia" w:ascii="仿宋_GB2312" w:hAnsi="仿宋_GB2312" w:eastAsia="仿宋_GB2312" w:cs="仿宋_GB2312"/>
          <w:i w:val="0"/>
          <w:caps w:val="0"/>
          <w:spacing w:val="0"/>
          <w:kern w:val="0"/>
          <w:sz w:val="32"/>
          <w:szCs w:val="32"/>
          <w:u w:val="none"/>
          <w:bdr w:val="none" w:color="auto" w:sz="0" w:space="0"/>
          <w:shd w:val="clear" w:fill="FFFFFF"/>
          <w:lang w:val="en-US" w:eastAsia="zh-CN" w:bidi="ar"/>
        </w:rPr>
        <w:fldChar w:fldCharType="end"/>
      </w:r>
      <w:r>
        <w:rPr>
          <w:rFonts w:hint="eastAsia" w:ascii="仿宋_GB2312" w:hAnsi="仿宋_GB2312" w:eastAsia="仿宋_GB2312" w:cs="仿宋_GB2312"/>
          <w:i w:val="0"/>
          <w:caps w:val="0"/>
          <w:spacing w:val="0"/>
          <w:kern w:val="0"/>
          <w:sz w:val="32"/>
          <w:szCs w:val="32"/>
          <w:u w:val="none"/>
          <w:bdr w:val="none" w:color="auto" w:sz="0" w:space="0"/>
          <w:shd w:val="clear" w:fill="FFFFFF"/>
          <w:lang w:val="en-US" w:eastAsia="zh-CN" w:bidi="ar"/>
        </w:rPr>
        <w:fldChar w:fldCharType="begin"/>
      </w:r>
      <w:r>
        <w:rPr>
          <w:rFonts w:hint="eastAsia" w:ascii="仿宋_GB2312" w:hAnsi="仿宋_GB2312" w:eastAsia="仿宋_GB2312" w:cs="仿宋_GB2312"/>
          <w:i w:val="0"/>
          <w:caps w:val="0"/>
          <w:spacing w:val="0"/>
          <w:kern w:val="0"/>
          <w:sz w:val="32"/>
          <w:szCs w:val="32"/>
          <w:u w:val="none"/>
          <w:bdr w:val="none" w:color="auto" w:sz="0" w:space="0"/>
          <w:shd w:val="clear" w:fill="FFFFFF"/>
          <w:lang w:val="en-US" w:eastAsia="zh-CN" w:bidi="ar"/>
        </w:rPr>
        <w:instrText xml:space="preserve"> HYPERLINK "http://www.zgtks.gov.cn/zgtks/ylfw/202205/adfd629506cb4da89ce8db4076ab01f9.shtml" \o "分享到新浪微博" </w:instrText>
      </w:r>
      <w:r>
        <w:rPr>
          <w:rFonts w:hint="eastAsia" w:ascii="仿宋_GB2312" w:hAnsi="仿宋_GB2312" w:eastAsia="仿宋_GB2312" w:cs="仿宋_GB2312"/>
          <w:i w:val="0"/>
          <w:caps w:val="0"/>
          <w:spacing w:val="0"/>
          <w:kern w:val="0"/>
          <w:sz w:val="32"/>
          <w:szCs w:val="32"/>
          <w:u w:val="none"/>
          <w:bdr w:val="none" w:color="auto" w:sz="0" w:space="0"/>
          <w:shd w:val="clear" w:fill="FFFFFF"/>
          <w:lang w:val="en-US" w:eastAsia="zh-CN" w:bidi="ar"/>
        </w:rPr>
        <w:fldChar w:fldCharType="separate"/>
      </w:r>
      <w:r>
        <w:rPr>
          <w:rFonts w:hint="eastAsia" w:ascii="仿宋_GB2312" w:hAnsi="仿宋_GB2312" w:eastAsia="仿宋_GB2312" w:cs="仿宋_GB2312"/>
          <w:i w:val="0"/>
          <w:caps w:val="0"/>
          <w:spacing w:val="0"/>
          <w:kern w:val="0"/>
          <w:sz w:val="32"/>
          <w:szCs w:val="32"/>
          <w:u w:val="none"/>
          <w:bdr w:val="none" w:color="auto" w:sz="0" w:space="0"/>
          <w:shd w:val="clear" w:fill="FFFFFF"/>
          <w:lang w:val="en-US" w:eastAsia="zh-CN" w:bidi="ar"/>
        </w:rPr>
        <w:fldChar w:fldCharType="end"/>
      </w:r>
      <w:r>
        <w:rPr>
          <w:rFonts w:hint="eastAsia" w:ascii="仿宋_GB2312" w:hAnsi="仿宋_GB2312" w:eastAsia="仿宋_GB2312" w:cs="仿宋_GB2312"/>
          <w:i w:val="0"/>
          <w:caps w:val="0"/>
          <w:color w:val="333333"/>
          <w:spacing w:val="0"/>
          <w:kern w:val="0"/>
          <w:sz w:val="32"/>
          <w:szCs w:val="32"/>
          <w:u w:val="none"/>
          <w:bdr w:val="none" w:color="auto" w:sz="0" w:space="0"/>
          <w:shd w:val="clear" w:fill="FFFFFF"/>
          <w:lang w:val="en-US" w:eastAsia="zh-CN" w:bidi="ar"/>
        </w:rPr>
        <w:fldChar w:fldCharType="begin"/>
      </w:r>
      <w:r>
        <w:rPr>
          <w:rFonts w:hint="eastAsia" w:ascii="仿宋_GB2312" w:hAnsi="仿宋_GB2312" w:eastAsia="仿宋_GB2312" w:cs="仿宋_GB2312"/>
          <w:i w:val="0"/>
          <w:caps w:val="0"/>
          <w:color w:val="333333"/>
          <w:spacing w:val="0"/>
          <w:kern w:val="0"/>
          <w:sz w:val="32"/>
          <w:szCs w:val="32"/>
          <w:u w:val="none"/>
          <w:bdr w:val="none" w:color="auto" w:sz="0" w:space="0"/>
          <w:shd w:val="clear" w:fill="FFFFFF"/>
          <w:lang w:val="en-US" w:eastAsia="zh-CN" w:bidi="ar"/>
        </w:rPr>
        <w:instrText xml:space="preserve"> HYPERLINK "http://www.zgtks.gov.cn/zgtks/ylfw/202205/adfd629506cb4da89ce8db4076ab01f9.shtml" </w:instrText>
      </w:r>
      <w:r>
        <w:rPr>
          <w:rFonts w:hint="eastAsia" w:ascii="仿宋_GB2312" w:hAnsi="仿宋_GB2312" w:eastAsia="仿宋_GB2312" w:cs="仿宋_GB2312"/>
          <w:i w:val="0"/>
          <w:caps w:val="0"/>
          <w:color w:val="333333"/>
          <w:spacing w:val="0"/>
          <w:kern w:val="0"/>
          <w:sz w:val="32"/>
          <w:szCs w:val="32"/>
          <w:u w:val="none"/>
          <w:bdr w:val="none" w:color="auto" w:sz="0" w:space="0"/>
          <w:shd w:val="clear" w:fill="FFFFFF"/>
          <w:lang w:val="en-US" w:eastAsia="zh-CN" w:bidi="ar"/>
        </w:rPr>
        <w:fldChar w:fldCharType="separate"/>
      </w:r>
      <w:r>
        <w:rPr>
          <w:rFonts w:hint="eastAsia" w:ascii="仿宋_GB2312" w:hAnsi="仿宋_GB2312" w:eastAsia="仿宋_GB2312" w:cs="仿宋_GB2312"/>
          <w:i w:val="0"/>
          <w:caps w:val="0"/>
          <w:color w:val="333333"/>
          <w:spacing w:val="0"/>
          <w:kern w:val="0"/>
          <w:sz w:val="32"/>
          <w:szCs w:val="32"/>
          <w:u w:val="none"/>
          <w:bdr w:val="none" w:color="auto" w:sz="0" w:space="0"/>
          <w:shd w:val="clear" w:fill="FFFFFF"/>
          <w:lang w:val="en-US" w:eastAsia="zh-CN" w:bidi="ar"/>
        </w:rPr>
        <w:fldChar w:fldCharType="end"/>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第一章</w:t>
      </w:r>
      <w:r>
        <w:rPr>
          <w:rFonts w:hint="eastAsia" w:ascii="仿宋_GB2312" w:hAnsi="仿宋_GB2312" w:eastAsia="仿宋_GB2312" w:cs="仿宋_GB2312"/>
          <w:i w:val="0"/>
          <w:caps w:val="0"/>
          <w:color w:val="000000"/>
          <w:spacing w:val="0"/>
          <w:sz w:val="32"/>
          <w:szCs w:val="32"/>
          <w:shd w:val="clear" w:fill="FFFFFF"/>
          <w:lang w:val="en-US" w:eastAsia="zh-CN"/>
        </w:rPr>
        <w:t xml:space="preserve">  </w:t>
      </w:r>
      <w:r>
        <w:rPr>
          <w:rFonts w:hint="eastAsia" w:ascii="仿宋_GB2312" w:hAnsi="仿宋_GB2312" w:eastAsia="仿宋_GB2312" w:cs="仿宋_GB2312"/>
          <w:i w:val="0"/>
          <w:caps w:val="0"/>
          <w:color w:val="000000"/>
          <w:spacing w:val="0"/>
          <w:sz w:val="32"/>
          <w:szCs w:val="32"/>
          <w:shd w:val="clear" w:fill="FFFFFF"/>
        </w:rPr>
        <w:t> 总  则</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第一条  为了规范对养老机构的管理，促进养老服务健康发展，根据《中华人民共和国老年人权益保障法》和有关法律、行政法规，制定本办法。</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第二条  本办法所称养老机构是指依法办理登记，为老年人提供全日集中住宿和照料护理服务，床位数在10张以上的机构。养老机构包括营利性养老机构和非营利性养老机构。</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第三条  县级以上人民政府民政部门负责养老机构的指导、监督和管理。其他有关部门依照职责分工对养老机构实施监督。</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第四条  养老机构应当按照建筑、消防、食品安全、医疗卫生、特种设备等法律、法规和强制性标准开展服务活动。养老机构及其工作人员应当依法保障收住老年人的人身权、财产权等合法权益。</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第五条  入住养老机构的老年人及其代理人应当遵守养老机构的规章制度，维护养老机构正常服务秩序。</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六条  政府投资兴办的养老机构在满足特困人员集中供养需求的前提下，优先保障经济困难的孤寡、失能、高龄、计划生育特殊家庭等老年人的服务需求。政府投资兴办的养老机构，可以采取委托管理、租赁经营等方式，交由社会力量运营管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第七条  民政部门应当会同有关部门采取措施，鼓励、支持企业事业单位、社会组织或者个人兴办、运营养老机构。</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鼓励自然人、法人或者其他组织依法为养老机构提供捐赠和志愿服务。</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第八条  鼓励养老机构加入养老服务行业组织，加强行业自律和诚信建设，促进行业规范有序发展。</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第二章  备案办理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i w:val="0"/>
          <w:caps w:val="0"/>
          <w:color w:val="000000"/>
          <w:spacing w:val="0"/>
          <w:sz w:val="32"/>
          <w:szCs w:val="32"/>
          <w:shd w:val="clear" w:fill="FFFFFF"/>
        </w:rPr>
        <w:t>第九条  设立营利性养老机构，应当在市场监督管理部门办理登记。设立非营利性养老机构，应当依法办理相应的登记。</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养老机构登记后即可开展服务活动。</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十条  营利性养老机构办理备案，应当在收住老年人后10个工作日以内向服务场所所在地的县级人民政府民政部门提出。非营利性养老机构办理备案，应当在收住老年人后10个工作日以内向登记管理机关同级的人民政府民政部门提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第十一条  养老机构办理备案，应当向民政部门提交备案申请书、养老机构登记证书、符合本办法第四条要求的承诺书等材料，并对真实性负责。</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备案申请书应当包括下列内容：</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（一）养老机构基本情况，包括名称、住所、法定代表人或者主要负责人信息等；</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（二）服务场所权属；</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（三）养老床位数量；</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（四）服务设施面积；</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（五）联系人和联系方式。</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民政部门应当加强信息化建设，逐步实现网上备案。</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第十二条  民政部门收到养老机构备案材料后，对材料齐全的，应当出具备案回执；材料不齐全的，应当指导养老机构补正。</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第十三条  已经备案的养老机构变更名称、法定代表人或者主要负责人等登记事项，或者变更服务场所权属、养老床位数量、服务设施面积等事项的，应当及时向原备案民政部门办理变更备案。</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养老机构在原备案机关辖区内变更服务场所的，应当及时向原备案民政部门办理变更备案。营利性养老机构跨原备案机关辖区变更服务场所的，应当及时向变更后的服务场所所在地县级人民政府民政部门办理备案。</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第十四条  民政部门应当通过政府网站、政务新媒体、办事大厅公示栏、服务窗口等途径向社会公开备案事项及流程、材料清单等信息。</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民政部门应当依托全国一体化在线政务服务平台，推进登记管理机关、备案机关信息系统互联互通、数据共享。</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第三章  服务规范</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第十五条  养老机构应当建立入院评估制度，对老年人的身心状况进行评估，并根据评估结果确定照料护理等级。</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老年人身心状况发生变化，需要变更照料护理等级的，养老机构应当重新进行评估。</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养老机构确定或者变更老年人照料护理等级，应当经老年人或者其代理人同意。</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第十六条  养老机构应当与老年人或者其代理人签订服务协议，明确当事人的权利和义务。</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服务协议一般包括下列条款：</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（一）养老机构的名称、住所、法定代表人或者主要负责人、联系方式；</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（二）老年人或者其代理人和紧急联系人的姓名、住址、身份证明、联系方式；</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（三）照料护理等级和服务内容、服务方式；</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（四）收费标准和费用支付方式；</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（五）服务期限和场所；</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（六）协议变更、解除与终止的条件；</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（七）暂停或者终止服务时老年人安置方式；</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（八）违约责任和争议解决方式；</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（九）当事人协商一致的其他内容。</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第十七条  养老机构按照服务协议为老年人提供生活照料、康复护理、精神慰藉、文化娱乐等服务。</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第十八条  养老机构应当为老年人提供饮食、起居、清洁、卫生等生活照料服务。</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养老机构应当提供符合老年人住宿条件的居住用房，并配备适合老年人安全保护要求的设施、设备及用具，定期对老年人的活动场所和物品进行消毒和清洗。</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养老机构提供的饮食应当符合食品安全要求、适宜老年人食用、有利于老年人营养平衡、符合民族风俗习惯。</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第十九条  养老机构应当为老年人建立健康档案，开展日常保健知识宣传，做好疾病预防工作。养老机构在老年人突发危重疾病时，应当及时转送医疗机构救治并通知其紧急联系人。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养老机构可以通过设立医疗机构或者采取与周边医疗机构合作的方式，为老年人提供医疗服务。养老机构设立医疗机构的，应当按照医疗机构管理相关法律法规进行管理。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第二十条  养老机构发现老年人为传染病病人或者疑似传染病病人的，应当及时向附近的疾病预防控制机构或者医疗机构报告，配合实施卫生处理、隔离等预防控制措施。</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养老机构发现老年人为疑似精神障碍患者的，应当依照精神卫生相关法律法规的规定处理。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第二十一条  养老机构应当根据需要为老年人提供情绪疏导、心理咨询、危机干预等精神慰藉服务。</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第二十二条  养老机构应当开展适合老年人的文化、教育、体育、娱乐活动，丰富老年人的精神文化生活。</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养老机构开展文化、教育、体育、娱乐活动时，应当为老年人提供必要的安全防护措施。</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第二十三条  养老机构应当为老年人家庭成员看望或者问候老年人提供便利，为老年人联系家庭成员提供帮助。</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第二十四条  鼓励养老机构运营社区养老服务设施，或者上门为居家老年人提供助餐、助浴、助洁等服务。 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第四章  运营管理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第二十五条  养老机构应当按照国家有关规定建立健全安全、消防、食品、卫生、财务、档案管理等规章制度，制定服务标准和工作流程，并予以公开。</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第二十六条  养老机构应当配备与服务和运营相适应的工作人员，并依法与其签订聘用合同或者劳动合同，定期开展职业道德教育和业务培训。</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养老机构中从事医疗、康复、消防等服务的人员，应当具备相应的职业资格。</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养老机构应当加强对养老护理人员的职业技能培训，建立健全体现职业技能等级等因素的薪酬制度。</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第二十七条  养老机构应当依照其登记类型、经营性质、运营方式、设施设备条件、管理水平、服务质量、照料护理等级等因素合理确定服务项目的收费标准，并遵守国家和地方政府价格管理有关规定。</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养老机构应当在醒目位置公示各类服务项目收费标准和收费依据，接受社会监督。</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第二十八条  养老机构应当实行24小时值班，做好老年人安全保障工作。</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养老机构应当在各出入口、接待大厅、值班室、楼道、食堂等公共场所安装视频监控设施，并妥善保管视频监控记录。</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二十九条  养老机构内设食堂的，应当取得市场监督管理部门颁发的食品经营许可证，严格遵守相关法律、法规和食品安全标准，执行原料控制、餐具饮具清洗消毒、食品留样等制度，并依法开展食堂食品安全自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养老机构从供餐单位订餐的，应当从取得食品生产经营许可的供餐单位订购，并按照要求对订购的食品进行查验。</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第三十条  养老机构应当依法履行消防安全职责，健全消防安全管理制度，实行消防工作责任制，配置消防设施、器材并定期检测、维修，开展日常防火巡查、检查，定期组织灭火和应急疏散消防安全培训。</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养老机构的法定代表人或者主要负责人对本单位消防安全工作全面负责，属于消防安全重点单位的养老机构应当确定消防安全管理人，负责组织实施本单位消防安全管理工作，并报告当地消防救援机构。</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第三十一条  养老机构应当依法制定自然灾害、事故灾难、公共卫生事件、社会安全事件等突发事件应急预案，在场所内配备报警装置和必要的应急救援设备、设施，定期开展突发事件应急演练。</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突发事件发生后，养老机构应当立即启动应急预案，采取防止危害扩大的必要处置措施，同时根据突发事件应对管理职责分工向有关部门和民政部门报告。</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第三十二条  养老机构应当建立老年人信息档案，收集和妥善保管服务协议等相关资料。档案的保管期限不少于服务协议期满后五年。</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养老机构及其工作人员应当保护老年人的个人信息和隐私。</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第三十三条  养老机构应当按照国家有关规定接受、使用捐赠、资助。</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鼓励养老机构为社会工作者、志愿者在机构内开展服务提供便利。</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第三十四条  鼓励养老机构投保责任保险，降低机构运营风险。</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第三十五条  养老机构因变更或者终止等原因暂停、终止服务的，应当在合理期限内提前书面通知老年人或者其代理人，并书面告知民政部门。</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老年人需要安置的，养老机构应当根据服务协议约定与老年人或者其代理人协商确定安置事宜。民政部门应当为养老机构妥善安置老年人提供帮助。</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养老机构终止服务后，应当依法清算并办理注销登记。</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第五章  监督检查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第三十六条  民政部门应当加强对养老机构服务和运营的监督检查，发现违反本办法规定的，及时依法予以处理并向社会公布。</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民政部门在监督检查中发现养老机构存在应当由其他部门查处的违法违规行为的，及时通报有关部门处理。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第三十七条  民政部门依法履行监督检查职责，可以采取以下措施：</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（一）向养老机构和个人了解情况；</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（二）进入涉嫌违法的养老机构进行现场检查；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（三）查阅或者复制有关合同、票据、账簿及其他有关资料；</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（四）发现养老机构存在可能危及人身健康和生命财产安全风险的，责令限期改正，逾期不改正的，责令停业整顿。</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民政部门实施监督检查时，监督检查人员不得少于2人，应当出示执法证件。</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对民政部门依法进行的监督检查，养老机构应当配合，如实提供相关资料和信息，不得隐瞒、拒绝、阻碍。</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三十八条  对已经备案的养老机构，备案民政部门应当自备案之日起20个工作日以内进行现场检查，并核实备案信息；对未备案的养老机构，服务场所所在地的县级人民政府民政部门应当自发现其收住老年人之日起20个工作日以内进行现场检查，并督促及时备案。</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民政部门应当每年对养老机构服务安全和质量进行不少于一次的现场检查。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第三十九条  民政部门应当采取随机抽取检查对象、随机选派检查人员的方式对养老机构实施监督检查。抽查情况及查处结果应当及时向社会公布。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民政部门应当结合养老机构的服务规模、信用记录、风险程度等情况，确定抽查比例和频次。对违法失信、风险高的养老机构，适当提高抽查比例和频次，依法依规实施严管和惩戒。</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第四十条  民政部门应当加强对养老机构非法集资的防范、监测和预警工作，发现养老机构涉嫌非法集资的，按照有关规定及时移交相关部门。</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第四十一条  民政部门应当充分利用信息技术手段，加强对养老机构的监督检查，提高监管能力和水平。</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第四十二条  民政部门应当定期开展养老服务行业统计工作，养老机构应当及时准确报送相关信息。</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第四十三条  养老机构应当听取老年人或者其代理人的意见和建议，发挥其对养老机构服务和运营的监督促进作用。</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第四十四条  民政部门应当畅通对养老机构的举报投诉渠道，依法及时处理有关举报投诉。</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第四十五条  民政部门发现个人或者组织未经登记以养老机构名义开展活动的，应当书面通报相关登记管理机关，并配合做好查处工作。</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第六章  法律责任</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第四十六条  养老机构有下列行为之一的，由民政部门责令改正，给予警告；情节严重的，处以3万元以下的罚款：</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（一）未建立入院评估制度或者未按照规定开展评估活动的；</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（二）未与老年人或者其代理人签订服务协议，或者未按照协议约定提供服务的；</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（三）未按照有关强制性国家标准提供服务的；</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（四）工作人员的资格不符合规定的；</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（五）利用养老机构的房屋、场地、设施开展与养老服务宗旨无关的活动的；</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（六）未依照本办法规定预防和处置突发事件的；</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（七）歧视、侮辱、虐待老年人以及其他侵害老年人人身和财产权益行为的；</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（八）向负责监督检查的民政部门隐瞒有关情况、提供虚假材料或者拒绝提供反映其活动情况真实材料的；</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（九）法律、法规、规章规定的其他违法行为。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养老机构及其工作人员违反本办法有关规定，构成违反治安管理行为的，依法给予治安管理处罚；构成犯罪的，依法追究刑事责任。</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第四十七条  民政部门及其工作人员在监督管理工作中滥用职权、玩忽职守、徇私舞弊的，对直接负责的主管人员和其他责任人员依法依规给予处分；构成犯罪的，依法追究刑事责任。</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第七章  附  则</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第四十八条  国家对农村五保供养服务机构的管理有特别规定的，依照其规定办理。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第四十九条  本办法自2020年11月1日起施行。2013年6月28日民政部发布的《养老机构管理办法》同时废止。</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Ã¥Â¾Â®Ã¨Â½Â¯Ã©â€ºâ€¦Ã©Â»â€˜">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D235F8"/>
    <w:rsid w:val="11D235F8"/>
    <w:rsid w:val="4CC63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2023-08-15T10:22:00Z</dcterms:created>
  <dc:creator>燚</dc:creator>
  <cp:lastModifiedBy>燚</cp:lastModifiedBy>
  <dcterms:modified xsi:type="dcterms:W3CDTF">2023-08-15T10:42:26Z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