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仿宋_GB2312"/>
          <w:b/>
          <w:sz w:val="32"/>
          <w:szCs w:val="32"/>
        </w:rPr>
      </w:pPr>
      <w:r>
        <w:rPr>
          <w:rFonts w:hint="eastAsia" w:ascii="方正小标宋简体" w:eastAsia="方正小标宋简体"/>
          <w:b/>
          <w:sz w:val="44"/>
          <w:szCs w:val="44"/>
        </w:rPr>
        <w:t>伊犁州</w:t>
      </w:r>
      <w:r>
        <w:rPr>
          <w:rFonts w:hint="eastAsia" w:ascii="方正小标宋简体" w:eastAsia="方正小标宋简体"/>
          <w:b/>
          <w:sz w:val="44"/>
          <w:szCs w:val="44"/>
          <w:lang w:val="en-US" w:eastAsia="zh-CN"/>
        </w:rPr>
        <w:t>直</w:t>
      </w:r>
      <w:r>
        <w:rPr>
          <w:rFonts w:hint="eastAsia" w:ascii="方正小标宋简体" w:eastAsia="方正小标宋简体"/>
          <w:b/>
          <w:sz w:val="44"/>
          <w:szCs w:val="44"/>
        </w:rPr>
        <w:t>城乡居民</w:t>
      </w:r>
      <w:r>
        <w:rPr>
          <w:rFonts w:hint="eastAsia" w:ascii="方正小标宋简体" w:eastAsia="方正小标宋简体"/>
          <w:b/>
          <w:sz w:val="44"/>
          <w:szCs w:val="44"/>
          <w:lang w:val="en-US" w:eastAsia="zh-CN"/>
        </w:rPr>
        <w:t>基本</w:t>
      </w:r>
      <w:r>
        <w:rPr>
          <w:rFonts w:hint="eastAsia" w:ascii="方正小标宋简体" w:eastAsia="方正小标宋简体"/>
          <w:b/>
          <w:sz w:val="44"/>
          <w:szCs w:val="44"/>
        </w:rPr>
        <w:t>医疗保险</w:t>
      </w:r>
      <w:r>
        <w:rPr>
          <w:rFonts w:hint="eastAsia" w:ascii="方正小标宋简体" w:eastAsia="方正小标宋简体"/>
          <w:b/>
          <w:sz w:val="44"/>
          <w:szCs w:val="44"/>
          <w:lang w:val="en-US" w:eastAsia="zh-CN"/>
        </w:rPr>
        <w:t>报销政策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lang w:val="en-US" w:eastAsia="zh-CN"/>
        </w:rPr>
        <w:t>普通门诊报销：</w:t>
      </w:r>
      <w:r>
        <w:rPr>
          <w:rFonts w:hint="eastAsia" w:ascii="仿宋_GB2312" w:hAnsi="仿宋_GB2312" w:eastAsia="仿宋_GB2312" w:cs="仿宋_GB2312"/>
          <w:sz w:val="32"/>
          <w:szCs w:val="32"/>
          <w:lang w:val="en-US" w:eastAsia="zh-CN"/>
        </w:rPr>
        <w:t>二级医疗机构（县级医疗机构）</w:t>
      </w:r>
      <w:r>
        <w:rPr>
          <w:rFonts w:hint="eastAsia" w:ascii="仿宋_GB2312" w:hAnsi="仿宋_GB2312" w:eastAsia="仿宋_GB2312" w:cs="仿宋_GB2312"/>
          <w:sz w:val="32"/>
          <w:szCs w:val="32"/>
        </w:rPr>
        <w:t>单次门诊</w:t>
      </w:r>
      <w:r>
        <w:rPr>
          <w:rFonts w:hint="eastAsia" w:ascii="仿宋_GB2312" w:hAnsi="仿宋_GB2312" w:eastAsia="仿宋_GB2312" w:cs="仿宋_GB2312"/>
          <w:sz w:val="32"/>
          <w:szCs w:val="32"/>
          <w:lang w:eastAsia="zh-CN"/>
        </w:rPr>
        <w:t>报销</w:t>
      </w:r>
      <w:r>
        <w:rPr>
          <w:rFonts w:hint="eastAsia" w:ascii="仿宋_GB2312" w:hAnsi="仿宋_GB2312" w:eastAsia="仿宋_GB2312" w:cs="仿宋_GB2312"/>
          <w:sz w:val="32"/>
          <w:szCs w:val="32"/>
        </w:rPr>
        <w:t>封顶额为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报销比例50%；</w:t>
      </w:r>
      <w:r>
        <w:rPr>
          <w:rFonts w:hint="eastAsia" w:ascii="仿宋_GB2312" w:hAnsi="仿宋_GB2312" w:eastAsia="仿宋_GB2312" w:cs="仿宋_GB2312"/>
          <w:sz w:val="32"/>
          <w:szCs w:val="32"/>
        </w:rPr>
        <w:t>乡镇卫生院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街道卫生服务中心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单次门诊</w:t>
      </w:r>
      <w:r>
        <w:rPr>
          <w:rFonts w:hint="eastAsia" w:ascii="仿宋_GB2312" w:hAnsi="仿宋_GB2312" w:eastAsia="仿宋_GB2312" w:cs="仿宋_GB2312"/>
          <w:sz w:val="32"/>
          <w:szCs w:val="32"/>
          <w:lang w:eastAsia="zh-CN"/>
        </w:rPr>
        <w:t>报销</w:t>
      </w:r>
      <w:r>
        <w:rPr>
          <w:rFonts w:hint="eastAsia" w:ascii="仿宋_GB2312" w:hAnsi="仿宋_GB2312" w:eastAsia="仿宋_GB2312" w:cs="仿宋_GB2312"/>
          <w:sz w:val="32"/>
          <w:szCs w:val="32"/>
        </w:rPr>
        <w:t>封顶额为3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报销比例80%；</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val="en-US" w:eastAsia="zh-CN"/>
        </w:rPr>
        <w:t>卫生室（社区服务站）</w:t>
      </w:r>
      <w:r>
        <w:rPr>
          <w:rFonts w:hint="eastAsia" w:ascii="仿宋_GB2312" w:hAnsi="仿宋_GB2312" w:eastAsia="仿宋_GB2312" w:cs="仿宋_GB2312"/>
          <w:sz w:val="32"/>
          <w:szCs w:val="32"/>
        </w:rPr>
        <w:t>单次门诊</w:t>
      </w:r>
      <w:r>
        <w:rPr>
          <w:rFonts w:hint="eastAsia" w:ascii="仿宋_GB2312" w:hAnsi="仿宋_GB2312" w:eastAsia="仿宋_GB2312" w:cs="仿宋_GB2312"/>
          <w:sz w:val="32"/>
          <w:szCs w:val="32"/>
          <w:lang w:eastAsia="zh-CN"/>
        </w:rPr>
        <w:t>报销</w:t>
      </w:r>
      <w:r>
        <w:rPr>
          <w:rFonts w:hint="eastAsia" w:ascii="仿宋_GB2312" w:hAnsi="仿宋_GB2312" w:eastAsia="仿宋_GB2312" w:cs="仿宋_GB2312"/>
          <w:sz w:val="32"/>
          <w:szCs w:val="32"/>
        </w:rPr>
        <w:t>封顶额为2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报销比例90%；</w:t>
      </w:r>
      <w:r>
        <w:rPr>
          <w:rFonts w:hint="eastAsia" w:ascii="仿宋_GB2312" w:hAnsi="仿宋_GB2312" w:eastAsia="仿宋_GB2312" w:cs="仿宋_GB2312"/>
          <w:sz w:val="32"/>
          <w:szCs w:val="32"/>
        </w:rPr>
        <w:t>城</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居民</w:t>
      </w:r>
      <w:r>
        <w:rPr>
          <w:rFonts w:hint="eastAsia" w:ascii="仿宋_GB2312" w:hAnsi="仿宋_GB2312" w:eastAsia="仿宋_GB2312" w:cs="仿宋_GB2312"/>
          <w:sz w:val="32"/>
          <w:szCs w:val="32"/>
          <w:lang w:val="en-US" w:eastAsia="zh-CN"/>
        </w:rPr>
        <w:t>普通</w:t>
      </w:r>
      <w:r>
        <w:rPr>
          <w:rFonts w:hint="eastAsia" w:ascii="仿宋_GB2312" w:hAnsi="仿宋_GB2312" w:eastAsia="仿宋_GB2312" w:cs="仿宋_GB2312"/>
          <w:sz w:val="32"/>
          <w:szCs w:val="32"/>
        </w:rPr>
        <w:t>门诊就医年度限额为800元。</w:t>
      </w:r>
    </w:p>
    <w:p>
      <w:pPr>
        <w:pStyle w:val="2"/>
        <w:numPr>
          <w:numId w:val="0"/>
        </w:numPr>
        <w:rPr>
          <w:rFonts w:hint="eastAsia"/>
        </w:rPr>
      </w:pPr>
    </w:p>
    <w:tbl>
      <w:tblPr>
        <w:tblStyle w:val="9"/>
        <w:tblW w:w="8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45"/>
        <w:gridCol w:w="2130"/>
        <w:gridCol w:w="2010"/>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trPr>
        <w:tc>
          <w:tcPr>
            <w:tcW w:w="2645"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ind w:firstLine="723" w:firstLineChars="300"/>
              <w:jc w:val="both"/>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名称</w:t>
            </w:r>
          </w:p>
        </w:tc>
        <w:tc>
          <w:tcPr>
            <w:tcW w:w="2130"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普通门诊报销比例</w:t>
            </w:r>
          </w:p>
        </w:tc>
        <w:tc>
          <w:tcPr>
            <w:tcW w:w="2010"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单次封顶额（元）</w:t>
            </w:r>
          </w:p>
        </w:tc>
        <w:tc>
          <w:tcPr>
            <w:tcW w:w="199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年度封顶额（元）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trPr>
        <w:tc>
          <w:tcPr>
            <w:tcW w:w="2645"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ind w:firstLine="241" w:firstLineChars="100"/>
              <w:jc w:val="both"/>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二级医疗机构</w:t>
            </w:r>
          </w:p>
        </w:tc>
        <w:tc>
          <w:tcPr>
            <w:tcW w:w="2130"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50%</w:t>
            </w:r>
          </w:p>
        </w:tc>
        <w:tc>
          <w:tcPr>
            <w:tcW w:w="2010"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50</w:t>
            </w:r>
          </w:p>
        </w:tc>
        <w:tc>
          <w:tcPr>
            <w:tcW w:w="1995" w:type="dxa"/>
            <w:vMerge w:val="restart"/>
            <w:tcBorders>
              <w:top w:val="single" w:color="000000" w:sz="8"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64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乡镇卫生院（街道卫生服务中心）</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19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645" w:type="dxa"/>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村卫生室（社区服务站）</w:t>
            </w:r>
          </w:p>
        </w:tc>
        <w:tc>
          <w:tcPr>
            <w:tcW w:w="213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w:t>
            </w:r>
          </w:p>
        </w:tc>
        <w:tc>
          <w:tcPr>
            <w:tcW w:w="201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199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Arial" w:hAnsi="Arial" w:cs="Arial"/>
                <w:i w:val="0"/>
                <w:color w:val="000000"/>
                <w:sz w:val="20"/>
                <w:szCs w:val="20"/>
                <w:u w:val="none"/>
              </w:rPr>
            </w:pPr>
          </w:p>
        </w:tc>
      </w:tr>
    </w:tbl>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eastAsiaTheme="minorEastAsia"/>
          <w:lang w:val="en-US" w:eastAsia="zh-CN"/>
        </w:rPr>
      </w:pPr>
      <w:r>
        <w:rPr>
          <w:rFonts w:hint="eastAsia" w:ascii="仿宋_GB2312" w:hAnsi="仿宋_GB2312" w:eastAsia="仿宋_GB2312" w:cs="仿宋_GB2312"/>
          <w:kern w:val="2"/>
          <w:sz w:val="32"/>
          <w:szCs w:val="32"/>
          <w:lang w:val="en-US" w:eastAsia="zh-CN" w:bidi="ar-SA"/>
        </w:rPr>
        <w:t>比如：李大爷在乡卫生院看病拿药花了40元，按照报销比例计算应该报销40*80%=32元，报销金额未超出当日封顶额35元，李大爷本次看病拿药只需付费8元，医保报销32元，如超出当日封顶额，超出部分将自行承担。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二、住院报销</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城乡居民在</w:t>
      </w:r>
      <w:r>
        <w:rPr>
          <w:rFonts w:hint="eastAsia" w:ascii="仿宋_GB2312" w:hAnsi="仿宋_GB2312" w:eastAsia="仿宋_GB2312" w:cs="仿宋_GB2312"/>
          <w:sz w:val="32"/>
          <w:szCs w:val="32"/>
          <w:lang w:val="en-US" w:eastAsia="zh-CN"/>
        </w:rPr>
        <w:t>定点医院住院政策范围内费用一级医院报销</w:t>
      </w:r>
      <w:r>
        <w:rPr>
          <w:rFonts w:hint="eastAsia" w:ascii="仿宋_GB2312" w:hAnsi="仿宋_GB2312" w:eastAsia="仿宋_GB2312" w:cs="仿宋_GB2312"/>
          <w:sz w:val="32"/>
          <w:szCs w:val="32"/>
        </w:rPr>
        <w:t>90%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起付线100元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级医院报销80%、起付线400元，三级医院报销65%、起付线600元，二级、三级定点医院年度内第二次及以上住院起付线减半收取，一级定点医院第二次及以上起付线为80元。非急诊且未办理转诊的其他跨统筹区（州外疆内、疆外）临时外出就医人员报销比例下降15%。</w:t>
      </w:r>
    </w:p>
    <w:tbl>
      <w:tblPr>
        <w:tblStyle w:val="9"/>
        <w:tblpPr w:leftFromText="180" w:rightFromText="180" w:vertAnchor="text" w:horzAnchor="page" w:tblpX="1752" w:tblpY="250"/>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350"/>
        <w:gridCol w:w="1280"/>
        <w:gridCol w:w="128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10" w:type="dxa"/>
            <w:vAlign w:val="center"/>
          </w:tcPr>
          <w:p>
            <w:pPr>
              <w:spacing w:line="480" w:lineRule="exact"/>
              <w:jc w:val="both"/>
              <w:rPr>
                <w:rFonts w:ascii="仿宋" w:hAnsi="仿宋" w:eastAsia="仿宋" w:cs="宋体"/>
                <w:b/>
                <w:bCs/>
                <w:kern w:val="0"/>
                <w:sz w:val="24"/>
                <w:szCs w:val="24"/>
              </w:rPr>
            </w:pPr>
            <w:r>
              <w:rPr>
                <w:rFonts w:hint="eastAsia" w:ascii="仿宋" w:hAnsi="仿宋" w:eastAsia="仿宋" w:cs="仿宋"/>
                <w:b/>
                <w:bCs/>
                <w:color w:val="666666"/>
                <w:kern w:val="0"/>
                <w:sz w:val="24"/>
                <w:szCs w:val="24"/>
              </w:rPr>
              <w:t>医疗机构</w:t>
            </w:r>
          </w:p>
        </w:tc>
        <w:tc>
          <w:tcPr>
            <w:tcW w:w="1350" w:type="dxa"/>
            <w:vAlign w:val="center"/>
          </w:tcPr>
          <w:p>
            <w:pPr>
              <w:spacing w:line="480" w:lineRule="exact"/>
              <w:jc w:val="both"/>
              <w:rPr>
                <w:rFonts w:ascii="仿宋" w:hAnsi="仿宋" w:eastAsia="仿宋" w:cs="宋体"/>
                <w:b/>
                <w:bCs/>
                <w:kern w:val="0"/>
                <w:sz w:val="24"/>
                <w:szCs w:val="24"/>
              </w:rPr>
            </w:pPr>
            <w:r>
              <w:rPr>
                <w:rFonts w:hint="eastAsia" w:ascii="仿宋" w:hAnsi="仿宋" w:eastAsia="仿宋" w:cs="宋体"/>
                <w:b/>
                <w:bCs/>
                <w:kern w:val="0"/>
                <w:sz w:val="24"/>
                <w:szCs w:val="24"/>
              </w:rPr>
              <w:t>起付线</w:t>
            </w:r>
          </w:p>
        </w:tc>
        <w:tc>
          <w:tcPr>
            <w:tcW w:w="1280" w:type="dxa"/>
            <w:vAlign w:val="center"/>
          </w:tcPr>
          <w:p>
            <w:pPr>
              <w:spacing w:line="480" w:lineRule="exact"/>
              <w:jc w:val="both"/>
              <w:rPr>
                <w:rFonts w:hint="default" w:ascii="仿宋" w:hAnsi="仿宋" w:eastAsia="仿宋" w:cs="宋体"/>
                <w:b/>
                <w:bCs/>
                <w:kern w:val="0"/>
                <w:sz w:val="24"/>
                <w:szCs w:val="24"/>
                <w:lang w:val="en-US"/>
              </w:rPr>
            </w:pPr>
            <w:r>
              <w:rPr>
                <w:rFonts w:hint="eastAsia" w:ascii="仿宋" w:hAnsi="仿宋" w:eastAsia="仿宋" w:cs="宋体"/>
                <w:b/>
                <w:bCs/>
                <w:kern w:val="0"/>
                <w:sz w:val="24"/>
                <w:szCs w:val="24"/>
                <w:lang w:val="en-US" w:eastAsia="zh-CN"/>
              </w:rPr>
              <w:t>二次及以上起付线</w:t>
            </w:r>
          </w:p>
        </w:tc>
        <w:tc>
          <w:tcPr>
            <w:tcW w:w="1280" w:type="dxa"/>
            <w:vAlign w:val="center"/>
          </w:tcPr>
          <w:p>
            <w:pPr>
              <w:spacing w:line="480" w:lineRule="exact"/>
              <w:jc w:val="both"/>
              <w:rPr>
                <w:rFonts w:hint="default" w:ascii="仿宋" w:hAnsi="仿宋" w:eastAsia="仿宋" w:cs="宋体"/>
                <w:b/>
                <w:bCs/>
                <w:kern w:val="0"/>
                <w:sz w:val="24"/>
                <w:szCs w:val="24"/>
                <w:lang w:val="en-US" w:eastAsia="zh-CN" w:bidi="ar-SA"/>
              </w:rPr>
            </w:pPr>
            <w:r>
              <w:rPr>
                <w:rFonts w:hint="eastAsia" w:ascii="仿宋" w:hAnsi="仿宋" w:eastAsia="仿宋" w:cs="宋体"/>
                <w:b/>
                <w:bCs/>
                <w:kern w:val="0"/>
                <w:sz w:val="24"/>
                <w:szCs w:val="24"/>
                <w:lang w:val="en-US" w:eastAsia="zh-CN"/>
              </w:rPr>
              <w:t>报销</w:t>
            </w:r>
            <w:r>
              <w:rPr>
                <w:rFonts w:hint="eastAsia" w:ascii="仿宋" w:hAnsi="仿宋" w:eastAsia="仿宋" w:cs="宋体"/>
                <w:b/>
                <w:bCs/>
                <w:kern w:val="0"/>
                <w:sz w:val="24"/>
                <w:szCs w:val="24"/>
              </w:rPr>
              <w:t>比例</w:t>
            </w:r>
          </w:p>
        </w:tc>
        <w:tc>
          <w:tcPr>
            <w:tcW w:w="284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非急诊且未按规定转院（州外疆内、疆外）其他统筹区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810" w:type="dxa"/>
          </w:tcPr>
          <w:p>
            <w:pPr>
              <w:spacing w:line="480" w:lineRule="exact"/>
              <w:jc w:val="both"/>
              <w:rPr>
                <w:rFonts w:ascii="仿宋" w:hAnsi="仿宋" w:eastAsia="仿宋" w:cs="宋体"/>
                <w:b w:val="0"/>
                <w:bCs w:val="0"/>
                <w:kern w:val="0"/>
                <w:sz w:val="24"/>
                <w:szCs w:val="24"/>
              </w:rPr>
            </w:pPr>
            <w:r>
              <w:rPr>
                <w:rFonts w:hint="eastAsia" w:ascii="仿宋" w:hAnsi="仿宋" w:eastAsia="仿宋" w:cs="宋体"/>
                <w:b w:val="0"/>
                <w:bCs w:val="0"/>
                <w:kern w:val="0"/>
                <w:sz w:val="24"/>
                <w:szCs w:val="24"/>
                <w:lang w:eastAsia="zh-CN"/>
              </w:rPr>
              <w:t>一</w:t>
            </w:r>
            <w:r>
              <w:rPr>
                <w:rFonts w:hint="eastAsia" w:ascii="仿宋" w:hAnsi="仿宋" w:eastAsia="仿宋" w:cs="宋体"/>
                <w:b w:val="0"/>
                <w:bCs w:val="0"/>
                <w:kern w:val="0"/>
                <w:sz w:val="24"/>
                <w:szCs w:val="24"/>
              </w:rPr>
              <w:t>级</w:t>
            </w:r>
          </w:p>
        </w:tc>
        <w:tc>
          <w:tcPr>
            <w:tcW w:w="1350" w:type="dxa"/>
            <w:vAlign w:val="center"/>
          </w:tcPr>
          <w:p>
            <w:pPr>
              <w:spacing w:line="480" w:lineRule="exact"/>
              <w:jc w:val="center"/>
              <w:rPr>
                <w:rFonts w:ascii="仿宋" w:hAnsi="仿宋" w:eastAsia="仿宋" w:cs="宋体"/>
                <w:b w:val="0"/>
                <w:bCs w:val="0"/>
                <w:kern w:val="0"/>
                <w:sz w:val="24"/>
                <w:szCs w:val="24"/>
              </w:rPr>
            </w:pPr>
            <w:r>
              <w:rPr>
                <w:rFonts w:hint="eastAsia" w:ascii="仿宋" w:hAnsi="仿宋" w:eastAsia="仿宋" w:cs="宋体"/>
                <w:b w:val="0"/>
                <w:bCs w:val="0"/>
                <w:kern w:val="0"/>
                <w:sz w:val="24"/>
                <w:szCs w:val="24"/>
                <w:lang w:val="en-US" w:eastAsia="zh-CN"/>
              </w:rPr>
              <w:t>1</w:t>
            </w:r>
            <w:r>
              <w:rPr>
                <w:rFonts w:hint="eastAsia" w:ascii="仿宋" w:hAnsi="仿宋" w:eastAsia="仿宋" w:cs="宋体"/>
                <w:b w:val="0"/>
                <w:bCs w:val="0"/>
                <w:kern w:val="0"/>
                <w:sz w:val="24"/>
                <w:szCs w:val="24"/>
              </w:rPr>
              <w:t>00元</w:t>
            </w:r>
          </w:p>
        </w:tc>
        <w:tc>
          <w:tcPr>
            <w:tcW w:w="1280" w:type="dxa"/>
            <w:vAlign w:val="center"/>
          </w:tcPr>
          <w:p>
            <w:pPr>
              <w:spacing w:line="480" w:lineRule="exact"/>
              <w:jc w:val="center"/>
              <w:rPr>
                <w:rFonts w:hint="default" w:ascii="仿宋" w:hAnsi="仿宋" w:eastAsia="仿宋" w:cs="宋体"/>
                <w:b w:val="0"/>
                <w:bCs w:val="0"/>
                <w:kern w:val="0"/>
                <w:sz w:val="24"/>
                <w:szCs w:val="24"/>
                <w:lang w:val="en-US" w:eastAsia="zh-CN"/>
              </w:rPr>
            </w:pPr>
            <w:r>
              <w:rPr>
                <w:rFonts w:hint="eastAsia" w:ascii="仿宋" w:hAnsi="仿宋" w:eastAsia="仿宋" w:cs="宋体"/>
                <w:b w:val="0"/>
                <w:bCs w:val="0"/>
                <w:kern w:val="0"/>
                <w:sz w:val="24"/>
                <w:szCs w:val="24"/>
                <w:lang w:val="en-US" w:eastAsia="zh-CN"/>
              </w:rPr>
              <w:t>80</w:t>
            </w:r>
          </w:p>
        </w:tc>
        <w:tc>
          <w:tcPr>
            <w:tcW w:w="1280" w:type="dxa"/>
            <w:vAlign w:val="center"/>
          </w:tcPr>
          <w:p>
            <w:pPr>
              <w:spacing w:line="480" w:lineRule="exact"/>
              <w:jc w:val="center"/>
              <w:rPr>
                <w:rFonts w:hint="eastAsia" w:ascii="仿宋" w:hAnsi="仿宋" w:eastAsia="仿宋" w:cs="宋体"/>
                <w:b w:val="0"/>
                <w:bCs w:val="0"/>
                <w:kern w:val="0"/>
                <w:sz w:val="24"/>
                <w:szCs w:val="24"/>
                <w:lang w:val="en-US" w:eastAsia="zh-CN" w:bidi="ar-SA"/>
              </w:rPr>
            </w:pPr>
            <w:r>
              <w:rPr>
                <w:rFonts w:hint="eastAsia" w:ascii="仿宋" w:hAnsi="仿宋" w:eastAsia="仿宋" w:cs="宋体"/>
                <w:b w:val="0"/>
                <w:bCs w:val="0"/>
                <w:kern w:val="0"/>
                <w:sz w:val="24"/>
                <w:szCs w:val="24"/>
              </w:rPr>
              <w:t>90%</w:t>
            </w:r>
          </w:p>
        </w:tc>
        <w:tc>
          <w:tcPr>
            <w:tcW w:w="2840" w:type="dxa"/>
            <w:vMerge w:val="restart"/>
            <w:vAlign w:val="center"/>
          </w:tcPr>
          <w:p>
            <w:pPr>
              <w:spacing w:line="480" w:lineRule="exact"/>
              <w:ind w:firstLine="240" w:firstLineChars="100"/>
              <w:jc w:val="both"/>
              <w:rPr>
                <w:rFonts w:ascii="仿宋" w:hAnsi="仿宋" w:eastAsia="仿宋" w:cs="宋体"/>
                <w:kern w:val="0"/>
                <w:sz w:val="24"/>
                <w:szCs w:val="24"/>
              </w:rPr>
            </w:pPr>
            <w:r>
              <w:rPr>
                <w:rFonts w:hint="eastAsia" w:ascii="仿宋" w:hAnsi="仿宋" w:eastAsia="仿宋" w:cs="宋体"/>
                <w:kern w:val="0"/>
                <w:sz w:val="24"/>
                <w:szCs w:val="24"/>
              </w:rPr>
              <w:t>相应级别降低</w:t>
            </w:r>
            <w:r>
              <w:rPr>
                <w:rFonts w:hint="eastAsia" w:ascii="仿宋" w:hAnsi="仿宋" w:eastAsia="仿宋" w:cs="宋体"/>
                <w:kern w:val="0"/>
                <w:sz w:val="24"/>
                <w:szCs w:val="24"/>
                <w:lang w:val="en-US" w:eastAsia="zh-CN"/>
              </w:rPr>
              <w:t>15</w:t>
            </w:r>
            <w:r>
              <w:rPr>
                <w:rFonts w:hint="eastAsia" w:ascii="仿宋" w:hAnsi="仿宋" w:eastAsia="仿宋"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1810" w:type="dxa"/>
          </w:tcPr>
          <w:p>
            <w:pPr>
              <w:spacing w:line="480" w:lineRule="exact"/>
              <w:jc w:val="both"/>
              <w:rPr>
                <w:rFonts w:ascii="仿宋" w:hAnsi="仿宋" w:eastAsia="仿宋" w:cs="宋体"/>
                <w:b w:val="0"/>
                <w:bCs w:val="0"/>
                <w:kern w:val="0"/>
                <w:sz w:val="24"/>
                <w:szCs w:val="24"/>
              </w:rPr>
            </w:pPr>
            <w:r>
              <w:rPr>
                <w:rFonts w:hint="eastAsia" w:ascii="仿宋" w:hAnsi="仿宋" w:eastAsia="仿宋" w:cs="宋体"/>
                <w:b w:val="0"/>
                <w:bCs w:val="0"/>
                <w:kern w:val="0"/>
                <w:sz w:val="24"/>
                <w:szCs w:val="24"/>
                <w:lang w:eastAsia="zh-CN"/>
              </w:rPr>
              <w:t>二</w:t>
            </w:r>
            <w:r>
              <w:rPr>
                <w:rFonts w:hint="eastAsia" w:ascii="仿宋" w:hAnsi="仿宋" w:eastAsia="仿宋" w:cs="宋体"/>
                <w:b w:val="0"/>
                <w:bCs w:val="0"/>
                <w:kern w:val="0"/>
                <w:sz w:val="24"/>
                <w:szCs w:val="24"/>
              </w:rPr>
              <w:t>级</w:t>
            </w:r>
          </w:p>
        </w:tc>
        <w:tc>
          <w:tcPr>
            <w:tcW w:w="1350" w:type="dxa"/>
            <w:vAlign w:val="center"/>
          </w:tcPr>
          <w:p>
            <w:pPr>
              <w:spacing w:line="480" w:lineRule="exact"/>
              <w:jc w:val="center"/>
              <w:rPr>
                <w:rFonts w:ascii="仿宋" w:hAnsi="仿宋" w:eastAsia="仿宋" w:cs="宋体"/>
                <w:b w:val="0"/>
                <w:bCs w:val="0"/>
                <w:kern w:val="0"/>
                <w:sz w:val="24"/>
                <w:szCs w:val="24"/>
              </w:rPr>
            </w:pPr>
            <w:r>
              <w:rPr>
                <w:rFonts w:hint="eastAsia" w:ascii="仿宋" w:hAnsi="仿宋" w:eastAsia="仿宋" w:cs="宋体"/>
                <w:b w:val="0"/>
                <w:bCs w:val="0"/>
                <w:kern w:val="0"/>
                <w:sz w:val="24"/>
                <w:szCs w:val="24"/>
              </w:rPr>
              <w:t>400元</w:t>
            </w:r>
          </w:p>
        </w:tc>
        <w:tc>
          <w:tcPr>
            <w:tcW w:w="1280" w:type="dxa"/>
            <w:vAlign w:val="center"/>
          </w:tcPr>
          <w:p>
            <w:pPr>
              <w:spacing w:line="480" w:lineRule="exact"/>
              <w:jc w:val="center"/>
              <w:rPr>
                <w:rFonts w:hint="default" w:ascii="仿宋" w:hAnsi="仿宋" w:eastAsia="仿宋" w:cs="宋体"/>
                <w:b w:val="0"/>
                <w:bCs w:val="0"/>
                <w:kern w:val="0"/>
                <w:sz w:val="24"/>
                <w:szCs w:val="24"/>
                <w:lang w:val="en-US" w:eastAsia="zh-CN"/>
              </w:rPr>
            </w:pPr>
            <w:r>
              <w:rPr>
                <w:rFonts w:hint="eastAsia" w:ascii="仿宋" w:hAnsi="仿宋" w:eastAsia="仿宋" w:cs="宋体"/>
                <w:b w:val="0"/>
                <w:bCs w:val="0"/>
                <w:kern w:val="0"/>
                <w:sz w:val="24"/>
                <w:szCs w:val="24"/>
                <w:lang w:val="en-US" w:eastAsia="zh-CN"/>
              </w:rPr>
              <w:t>200</w:t>
            </w:r>
          </w:p>
        </w:tc>
        <w:tc>
          <w:tcPr>
            <w:tcW w:w="1280" w:type="dxa"/>
            <w:vAlign w:val="center"/>
          </w:tcPr>
          <w:p>
            <w:pPr>
              <w:spacing w:line="480" w:lineRule="exact"/>
              <w:jc w:val="center"/>
              <w:rPr>
                <w:rFonts w:hint="eastAsia" w:ascii="仿宋" w:hAnsi="仿宋" w:eastAsia="仿宋" w:cs="宋体"/>
                <w:b w:val="0"/>
                <w:bCs w:val="0"/>
                <w:kern w:val="0"/>
                <w:sz w:val="24"/>
                <w:szCs w:val="24"/>
                <w:lang w:val="en-US" w:eastAsia="zh-CN" w:bidi="ar-SA"/>
              </w:rPr>
            </w:pPr>
            <w:r>
              <w:rPr>
                <w:rFonts w:hint="eastAsia" w:ascii="仿宋" w:hAnsi="仿宋" w:eastAsia="仿宋" w:cs="宋体"/>
                <w:b w:val="0"/>
                <w:bCs w:val="0"/>
                <w:kern w:val="0"/>
                <w:sz w:val="24"/>
                <w:szCs w:val="24"/>
              </w:rPr>
              <w:t>80%</w:t>
            </w:r>
          </w:p>
        </w:tc>
        <w:tc>
          <w:tcPr>
            <w:tcW w:w="2840" w:type="dxa"/>
            <w:vMerge w:val="continue"/>
          </w:tcPr>
          <w:p>
            <w:pPr>
              <w:spacing w:line="480" w:lineRule="exact"/>
              <w:jc w:val="both"/>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810" w:type="dxa"/>
          </w:tcPr>
          <w:p>
            <w:pPr>
              <w:spacing w:line="480" w:lineRule="exact"/>
              <w:jc w:val="both"/>
              <w:rPr>
                <w:rFonts w:ascii="仿宋" w:hAnsi="仿宋" w:eastAsia="仿宋" w:cs="宋体"/>
                <w:b w:val="0"/>
                <w:bCs w:val="0"/>
                <w:kern w:val="0"/>
                <w:sz w:val="24"/>
                <w:szCs w:val="24"/>
              </w:rPr>
            </w:pPr>
            <w:r>
              <w:rPr>
                <w:rFonts w:hint="eastAsia" w:ascii="仿宋" w:hAnsi="仿宋" w:eastAsia="仿宋" w:cs="仿宋"/>
                <w:b w:val="0"/>
                <w:bCs w:val="0"/>
                <w:color w:val="666666"/>
                <w:kern w:val="0"/>
                <w:sz w:val="24"/>
                <w:szCs w:val="24"/>
                <w:lang w:eastAsia="zh-CN"/>
              </w:rPr>
              <w:t>三级</w:t>
            </w:r>
          </w:p>
        </w:tc>
        <w:tc>
          <w:tcPr>
            <w:tcW w:w="1350" w:type="dxa"/>
            <w:vAlign w:val="center"/>
          </w:tcPr>
          <w:p>
            <w:pPr>
              <w:spacing w:line="480" w:lineRule="exact"/>
              <w:jc w:val="center"/>
              <w:rPr>
                <w:rFonts w:ascii="仿宋" w:hAnsi="仿宋" w:eastAsia="仿宋" w:cs="宋体"/>
                <w:b w:val="0"/>
                <w:bCs w:val="0"/>
                <w:kern w:val="0"/>
                <w:sz w:val="24"/>
                <w:szCs w:val="24"/>
              </w:rPr>
            </w:pPr>
            <w:r>
              <w:rPr>
                <w:rFonts w:hint="eastAsia" w:ascii="仿宋" w:hAnsi="仿宋" w:eastAsia="仿宋" w:cs="宋体"/>
                <w:b w:val="0"/>
                <w:bCs w:val="0"/>
                <w:kern w:val="0"/>
                <w:sz w:val="24"/>
                <w:szCs w:val="24"/>
              </w:rPr>
              <w:t>600元</w:t>
            </w:r>
          </w:p>
        </w:tc>
        <w:tc>
          <w:tcPr>
            <w:tcW w:w="1280" w:type="dxa"/>
            <w:vAlign w:val="center"/>
          </w:tcPr>
          <w:p>
            <w:pPr>
              <w:spacing w:line="480" w:lineRule="exact"/>
              <w:jc w:val="center"/>
              <w:rPr>
                <w:rFonts w:hint="default" w:ascii="仿宋" w:hAnsi="仿宋" w:eastAsia="仿宋" w:cs="宋体"/>
                <w:b w:val="0"/>
                <w:bCs w:val="0"/>
                <w:kern w:val="0"/>
                <w:sz w:val="24"/>
                <w:szCs w:val="24"/>
                <w:lang w:val="en-US" w:eastAsia="zh-CN"/>
              </w:rPr>
            </w:pPr>
            <w:r>
              <w:rPr>
                <w:rFonts w:hint="eastAsia" w:ascii="仿宋" w:hAnsi="仿宋" w:eastAsia="仿宋" w:cs="宋体"/>
                <w:b w:val="0"/>
                <w:bCs w:val="0"/>
                <w:kern w:val="0"/>
                <w:sz w:val="24"/>
                <w:szCs w:val="24"/>
                <w:lang w:val="en-US" w:eastAsia="zh-CN"/>
              </w:rPr>
              <w:t>300</w:t>
            </w:r>
          </w:p>
        </w:tc>
        <w:tc>
          <w:tcPr>
            <w:tcW w:w="1280" w:type="dxa"/>
            <w:vAlign w:val="center"/>
          </w:tcPr>
          <w:p>
            <w:pPr>
              <w:spacing w:line="480" w:lineRule="exact"/>
              <w:jc w:val="center"/>
              <w:rPr>
                <w:rFonts w:hint="eastAsia" w:ascii="仿宋" w:hAnsi="仿宋" w:eastAsia="仿宋" w:cs="宋体"/>
                <w:b w:val="0"/>
                <w:bCs w:val="0"/>
                <w:kern w:val="0"/>
                <w:sz w:val="24"/>
                <w:szCs w:val="24"/>
                <w:lang w:val="en-US" w:eastAsia="zh-CN" w:bidi="ar-SA"/>
              </w:rPr>
            </w:pPr>
            <w:r>
              <w:rPr>
                <w:rFonts w:hint="eastAsia" w:ascii="仿宋" w:hAnsi="仿宋" w:eastAsia="仿宋" w:cs="宋体"/>
                <w:b w:val="0"/>
                <w:bCs w:val="0"/>
                <w:kern w:val="0"/>
                <w:sz w:val="24"/>
                <w:szCs w:val="24"/>
              </w:rPr>
              <w:t>6</w:t>
            </w:r>
            <w:r>
              <w:rPr>
                <w:rFonts w:hint="eastAsia" w:ascii="仿宋" w:hAnsi="仿宋" w:eastAsia="仿宋" w:cs="宋体"/>
                <w:b w:val="0"/>
                <w:bCs w:val="0"/>
                <w:kern w:val="0"/>
                <w:sz w:val="24"/>
                <w:szCs w:val="24"/>
                <w:lang w:val="en-US" w:eastAsia="zh-CN"/>
              </w:rPr>
              <w:t>5</w:t>
            </w:r>
            <w:r>
              <w:rPr>
                <w:rFonts w:hint="eastAsia" w:ascii="仿宋" w:hAnsi="仿宋" w:eastAsia="仿宋" w:cs="宋体"/>
                <w:b w:val="0"/>
                <w:bCs w:val="0"/>
                <w:kern w:val="0"/>
                <w:sz w:val="24"/>
                <w:szCs w:val="24"/>
              </w:rPr>
              <w:t>%</w:t>
            </w:r>
          </w:p>
        </w:tc>
        <w:tc>
          <w:tcPr>
            <w:tcW w:w="2840" w:type="dxa"/>
            <w:vMerge w:val="continue"/>
          </w:tcPr>
          <w:p>
            <w:pPr>
              <w:spacing w:line="480" w:lineRule="exact"/>
              <w:ind w:firstLine="240" w:firstLineChars="100"/>
              <w:jc w:val="both"/>
              <w:rPr>
                <w:rFonts w:ascii="仿宋" w:hAnsi="仿宋" w:eastAsia="仿宋" w:cs="宋体"/>
                <w:kern w:val="0"/>
                <w:sz w:val="24"/>
                <w:szCs w:val="24"/>
              </w:rPr>
            </w:pPr>
          </w:p>
        </w:tc>
      </w:tr>
    </w:tbl>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lang w:val="en-US" w:eastAsia="zh-CN"/>
        </w:rPr>
        <w:t>三、大病保险报销。</w:t>
      </w:r>
      <w:r>
        <w:rPr>
          <w:rFonts w:hint="eastAsia" w:ascii="仿宋_GB2312" w:hAnsi="仿宋_GB2312" w:eastAsia="仿宋_GB2312" w:cs="仿宋_GB2312"/>
          <w:sz w:val="32"/>
          <w:szCs w:val="32"/>
        </w:rPr>
        <w:t>参保居民</w:t>
      </w:r>
      <w:r>
        <w:rPr>
          <w:rFonts w:hint="eastAsia" w:ascii="仿宋_GB2312" w:hAnsi="仿宋_GB2312" w:eastAsia="仿宋_GB2312" w:cs="仿宋_GB2312"/>
          <w:sz w:val="32"/>
          <w:szCs w:val="32"/>
          <w:lang w:val="en-US" w:eastAsia="zh-CN"/>
        </w:rPr>
        <w:t>不需单独缴纳居民大病费用，在定点医疗机构</w:t>
      </w:r>
      <w:r>
        <w:rPr>
          <w:rFonts w:hint="eastAsia" w:ascii="仿宋_GB2312" w:hAnsi="仿宋_GB2312" w:eastAsia="仿宋_GB2312" w:cs="仿宋_GB2312"/>
          <w:sz w:val="32"/>
          <w:szCs w:val="32"/>
        </w:rPr>
        <w:t>住院发生的医疗费用由城乡居民基本医疗保险</w:t>
      </w:r>
      <w:r>
        <w:rPr>
          <w:rFonts w:hint="eastAsia" w:ascii="仿宋_GB2312" w:hAnsi="仿宋_GB2312" w:eastAsia="仿宋_GB2312" w:cs="仿宋_GB2312"/>
          <w:sz w:val="32"/>
          <w:szCs w:val="32"/>
          <w:lang w:eastAsia="zh-CN"/>
        </w:rPr>
        <w:t>基金</w:t>
      </w:r>
      <w:r>
        <w:rPr>
          <w:rFonts w:hint="eastAsia" w:ascii="仿宋_GB2312" w:hAnsi="仿宋_GB2312" w:eastAsia="仿宋_GB2312" w:cs="仿宋_GB2312"/>
          <w:sz w:val="32"/>
          <w:szCs w:val="32"/>
        </w:rPr>
        <w:t>支付，个人负担的</w:t>
      </w:r>
      <w:r>
        <w:rPr>
          <w:rFonts w:hint="eastAsia" w:ascii="仿宋_GB2312" w:hAnsi="仿宋_GB2312" w:eastAsia="仿宋_GB2312" w:cs="仿宋_GB2312"/>
          <w:sz w:val="32"/>
          <w:szCs w:val="32"/>
          <w:lang w:eastAsia="zh-CN"/>
        </w:rPr>
        <w:t>政策范围内</w:t>
      </w:r>
      <w:r>
        <w:rPr>
          <w:rFonts w:hint="eastAsia" w:ascii="仿宋_GB2312" w:hAnsi="仿宋_GB2312" w:eastAsia="仿宋_GB2312" w:cs="仿宋_GB2312"/>
          <w:sz w:val="32"/>
          <w:szCs w:val="32"/>
        </w:rPr>
        <w:t>费用超过大病保险起付线的，按照大病保险待遇支付。</w:t>
      </w:r>
    </w:p>
    <w:p>
      <w:pPr>
        <w:keepNext w:val="0"/>
        <w:keepLines w:val="0"/>
        <w:pageBreakBefore w:val="0"/>
        <w:kinsoku/>
        <w:wordWrap/>
        <w:overflowPunct/>
        <w:topLinePunct w:val="0"/>
        <w:bidi w:val="0"/>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起付标准：</w:t>
      </w:r>
      <w:r>
        <w:rPr>
          <w:rFonts w:hint="eastAsia" w:ascii="仿宋_GB2312" w:hAnsi="仿宋_GB2312" w:eastAsia="仿宋_GB2312" w:cs="仿宋_GB2312"/>
          <w:color w:val="000000" w:themeColor="text1"/>
          <w:sz w:val="32"/>
          <w:szCs w:val="32"/>
          <w14:textFill>
            <w14:solidFill>
              <w14:schemeClr w14:val="tx1"/>
            </w14:solidFill>
          </w14:textFill>
        </w:rPr>
        <w:t>个人负担的</w:t>
      </w:r>
      <w:r>
        <w:rPr>
          <w:rFonts w:hint="eastAsia" w:ascii="仿宋_GB2312" w:hAnsi="仿宋_GB2312" w:eastAsia="仿宋_GB2312" w:cs="仿宋_GB2312"/>
          <w:sz w:val="32"/>
          <w:szCs w:val="32"/>
          <w:lang w:eastAsia="zh-CN"/>
        </w:rPr>
        <w:t>政策范围内</w:t>
      </w:r>
      <w:r>
        <w:rPr>
          <w:rFonts w:hint="eastAsia" w:ascii="仿宋_GB2312" w:hAnsi="仿宋_GB2312" w:eastAsia="仿宋_GB2312" w:cs="仿宋_GB2312"/>
          <w:color w:val="000000" w:themeColor="text1"/>
          <w:sz w:val="32"/>
          <w:szCs w:val="32"/>
          <w14:textFill>
            <w14:solidFill>
              <w14:schemeClr w14:val="tx1"/>
            </w14:solidFill>
          </w14:textFill>
        </w:rPr>
        <w:t>费用累计超过</w:t>
      </w:r>
      <w:r>
        <w:rPr>
          <w:rFonts w:hint="eastAsia" w:ascii="仿宋_GB2312" w:hAnsi="仿宋_GB2312" w:eastAsia="仿宋_GB2312" w:cs="仿宋_GB2312"/>
          <w:sz w:val="32"/>
          <w:szCs w:val="32"/>
          <w:lang w:val="en-US" w:eastAsia="zh-CN"/>
        </w:rPr>
        <w:t>9800</w:t>
      </w:r>
      <w:r>
        <w:rPr>
          <w:rFonts w:hint="eastAsia" w:ascii="仿宋_GB2312" w:hAnsi="仿宋_GB2312" w:eastAsia="仿宋_GB2312" w:cs="仿宋_GB2312"/>
          <w:sz w:val="32"/>
          <w:szCs w:val="32"/>
        </w:rPr>
        <w:t>元。</w:t>
      </w:r>
    </w:p>
    <w:p>
      <w:pPr>
        <w:keepNext w:val="0"/>
        <w:keepLines w:val="0"/>
        <w:pageBreakBefore w:val="0"/>
        <w:kinsoku/>
        <w:wordWrap/>
        <w:overflowPunct/>
        <w:topLinePunct w:val="0"/>
        <w:bidi w:val="0"/>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报销</w:t>
      </w:r>
      <w:r>
        <w:rPr>
          <w:rFonts w:hint="eastAsia" w:ascii="仿宋_GB2312" w:hAnsi="仿宋_GB2312" w:eastAsia="仿宋_GB2312" w:cs="仿宋_GB2312"/>
          <w:sz w:val="32"/>
          <w:szCs w:val="32"/>
        </w:rPr>
        <w:t>比例：个人负担的</w:t>
      </w:r>
      <w:r>
        <w:rPr>
          <w:rFonts w:hint="eastAsia" w:ascii="仿宋_GB2312" w:hAnsi="仿宋_GB2312" w:eastAsia="仿宋_GB2312" w:cs="仿宋_GB2312"/>
          <w:sz w:val="32"/>
          <w:szCs w:val="32"/>
          <w:lang w:eastAsia="zh-CN"/>
        </w:rPr>
        <w:t>政策范围内</w:t>
      </w:r>
      <w:r>
        <w:rPr>
          <w:rFonts w:hint="eastAsia" w:ascii="仿宋_GB2312" w:hAnsi="仿宋_GB2312" w:eastAsia="仿宋_GB2312" w:cs="仿宋_GB2312"/>
          <w:sz w:val="32"/>
          <w:szCs w:val="32"/>
        </w:rPr>
        <w:t>费用由大病保险资金按比例支付，上不封顶。</w:t>
      </w:r>
      <w:r>
        <w:rPr>
          <w:rFonts w:hint="eastAsia" w:ascii="仿宋_GB2312" w:hAnsi="仿宋_GB2312" w:eastAsia="仿宋_GB2312" w:cs="仿宋_GB2312"/>
          <w:sz w:val="32"/>
          <w:szCs w:val="32"/>
          <w:lang w:val="en-US" w:eastAsia="zh-CN"/>
        </w:rPr>
        <w:t>9800</w:t>
      </w:r>
      <w:r>
        <w:rPr>
          <w:rFonts w:hint="eastAsia" w:ascii="仿宋_GB2312" w:hAnsi="仿宋_GB2312" w:eastAsia="仿宋_GB2312" w:cs="仿宋_GB2312"/>
          <w:sz w:val="32"/>
          <w:szCs w:val="32"/>
        </w:rPr>
        <w:t>元-5万元</w:t>
      </w:r>
      <w:r>
        <w:rPr>
          <w:rFonts w:hint="eastAsia" w:ascii="仿宋_GB2312" w:hAnsi="仿宋_GB2312" w:eastAsia="仿宋_GB2312" w:cs="仿宋_GB2312"/>
          <w:color w:val="000000" w:themeColor="text1"/>
          <w:sz w:val="32"/>
          <w:szCs w:val="32"/>
          <w14:textFill>
            <w14:solidFill>
              <w14:schemeClr w14:val="tx1"/>
            </w14:solidFill>
          </w14:textFill>
        </w:rPr>
        <w:t>（含5万元）</w:t>
      </w:r>
      <w:r>
        <w:rPr>
          <w:rFonts w:hint="eastAsia" w:ascii="仿宋_GB2312" w:hAnsi="仿宋_GB2312" w:eastAsia="仿宋_GB2312" w:cs="仿宋_GB2312"/>
          <w:sz w:val="32"/>
          <w:szCs w:val="32"/>
        </w:rPr>
        <w:t>，支付比例为65%；5万元-10万元</w:t>
      </w:r>
      <w:r>
        <w:rPr>
          <w:rFonts w:hint="eastAsia" w:ascii="仿宋_GB2312" w:hAnsi="仿宋_GB2312" w:eastAsia="仿宋_GB2312" w:cs="仿宋_GB2312"/>
          <w:color w:val="000000" w:themeColor="text1"/>
          <w:sz w:val="32"/>
          <w:szCs w:val="32"/>
          <w14:textFill>
            <w14:solidFill>
              <w14:schemeClr w14:val="tx1"/>
            </w14:solidFill>
          </w14:textFill>
        </w:rPr>
        <w:t>（含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sz w:val="32"/>
          <w:szCs w:val="32"/>
        </w:rPr>
        <w:t>，支付比例为75%；10万元以上的，支付比例为85%。</w:t>
      </w:r>
      <w:r>
        <w:rPr>
          <w:rFonts w:hint="eastAsia" w:ascii="仿宋_GB2312" w:hAnsi="仿宋_GB2312" w:eastAsia="仿宋_GB2312" w:cs="仿宋_GB2312"/>
          <w:sz w:val="32"/>
          <w:szCs w:val="32"/>
          <w:lang w:val="en-US" w:eastAsia="zh-CN"/>
        </w:rPr>
        <w:t>符合条件的困难群众</w:t>
      </w:r>
      <w:r>
        <w:rPr>
          <w:rFonts w:hint="eastAsia" w:ascii="仿宋_GB2312" w:hAnsi="仿宋_GB2312" w:eastAsia="仿宋_GB2312" w:cs="仿宋_GB2312"/>
          <w:sz w:val="32"/>
          <w:szCs w:val="32"/>
        </w:rPr>
        <w:t>大病保险起付标准降低50%（由9800元降至4900元）；各分段比例提高5个百分点，即：4900元—5万元</w:t>
      </w:r>
      <w:r>
        <w:rPr>
          <w:rFonts w:hint="eastAsia" w:ascii="仿宋_GB2312" w:hAnsi="仿宋_GB2312" w:eastAsia="仿宋_GB2312" w:cs="仿宋_GB2312"/>
          <w:color w:val="000000" w:themeColor="text1"/>
          <w:sz w:val="32"/>
          <w:szCs w:val="32"/>
          <w14:textFill>
            <w14:solidFill>
              <w14:schemeClr w14:val="tx1"/>
            </w14:solidFill>
          </w14:textFill>
        </w:rPr>
        <w:t>（含5万元）</w:t>
      </w:r>
      <w:r>
        <w:rPr>
          <w:rFonts w:hint="eastAsia" w:ascii="仿宋_GB2312" w:hAnsi="仿宋_GB2312" w:eastAsia="仿宋_GB2312" w:cs="仿宋_GB2312"/>
          <w:sz w:val="32"/>
          <w:szCs w:val="32"/>
        </w:rPr>
        <w:t>，报销比例为70%；5万元—10万元</w:t>
      </w:r>
      <w:r>
        <w:rPr>
          <w:rFonts w:hint="eastAsia" w:ascii="仿宋_GB2312" w:hAnsi="仿宋_GB2312" w:eastAsia="仿宋_GB2312" w:cs="仿宋_GB2312"/>
          <w:color w:val="000000" w:themeColor="text1"/>
          <w:sz w:val="32"/>
          <w:szCs w:val="32"/>
          <w14:textFill>
            <w14:solidFill>
              <w14:schemeClr w14:val="tx1"/>
            </w14:solidFill>
          </w14:textFill>
        </w:rPr>
        <w:t>（含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sz w:val="32"/>
          <w:szCs w:val="32"/>
        </w:rPr>
        <w:t>，报销比例为80%；10万元以上，报销比例为90%。</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tbl>
      <w:tblPr>
        <w:tblStyle w:val="9"/>
        <w:tblW w:w="87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80"/>
        <w:gridCol w:w="882"/>
        <w:gridCol w:w="1608"/>
        <w:gridCol w:w="1800"/>
        <w:gridCol w:w="1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2980"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类别</w:t>
            </w:r>
          </w:p>
        </w:tc>
        <w:tc>
          <w:tcPr>
            <w:tcW w:w="882"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起付线（元）</w:t>
            </w:r>
          </w:p>
        </w:tc>
        <w:tc>
          <w:tcPr>
            <w:tcW w:w="4866" w:type="dxa"/>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报销比例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2980"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b/>
                <w:bCs/>
                <w:i w:val="0"/>
                <w:color w:val="000000"/>
                <w:sz w:val="24"/>
                <w:szCs w:val="24"/>
                <w:u w:val="none"/>
              </w:rPr>
            </w:pPr>
          </w:p>
        </w:tc>
        <w:tc>
          <w:tcPr>
            <w:tcW w:w="882"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b/>
                <w:bCs/>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9800元-5万元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5</w:t>
            </w:r>
            <w:r>
              <w:rPr>
                <w:rStyle w:val="20"/>
                <w:rFonts w:hint="eastAsia" w:ascii="仿宋" w:hAnsi="仿宋" w:eastAsia="仿宋" w:cs="仿宋"/>
                <w:b/>
                <w:bCs/>
                <w:sz w:val="24"/>
                <w:szCs w:val="24"/>
                <w:lang w:val="en-US" w:eastAsia="zh-CN" w:bidi="ar"/>
              </w:rPr>
              <w:t>万元</w:t>
            </w:r>
            <w:r>
              <w:rPr>
                <w:rFonts w:hint="eastAsia" w:ascii="仿宋" w:hAnsi="仿宋" w:eastAsia="仿宋" w:cs="仿宋"/>
                <w:b/>
                <w:bCs/>
                <w:i w:val="0"/>
                <w:color w:val="000000"/>
                <w:kern w:val="0"/>
                <w:sz w:val="24"/>
                <w:szCs w:val="24"/>
                <w:u w:val="none"/>
                <w:lang w:val="en-US" w:eastAsia="zh-CN" w:bidi="ar"/>
              </w:rPr>
              <w:t>-10</w:t>
            </w:r>
            <w:r>
              <w:rPr>
                <w:rStyle w:val="20"/>
                <w:rFonts w:hint="eastAsia" w:ascii="仿宋" w:hAnsi="仿宋" w:eastAsia="仿宋" w:cs="仿宋"/>
                <w:b/>
                <w:bCs/>
                <w:sz w:val="24"/>
                <w:szCs w:val="24"/>
                <w:lang w:val="en-US" w:eastAsia="zh-CN" w:bidi="ar"/>
              </w:rPr>
              <w:t>万元</w:t>
            </w:r>
          </w:p>
        </w:tc>
        <w:tc>
          <w:tcPr>
            <w:tcW w:w="145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10</w:t>
            </w:r>
            <w:r>
              <w:rPr>
                <w:rStyle w:val="20"/>
                <w:rFonts w:hint="eastAsia" w:ascii="仿宋" w:hAnsi="仿宋" w:eastAsia="仿宋" w:cs="仿宋"/>
                <w:b/>
                <w:bCs/>
                <w:sz w:val="24"/>
                <w:szCs w:val="24"/>
                <w:lang w:val="en-US" w:eastAsia="zh-CN" w:bidi="ar"/>
              </w:rPr>
              <w:t>万元以上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9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普通参保人员</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9800</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145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2980"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特困（孤儿）、低保、监测户</w:t>
            </w:r>
          </w:p>
        </w:tc>
        <w:tc>
          <w:tcPr>
            <w:tcW w:w="88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4900</w:t>
            </w:r>
          </w:p>
        </w:tc>
        <w:tc>
          <w:tcPr>
            <w:tcW w:w="1608"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c>
          <w:tcPr>
            <w:tcW w:w="180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1458"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w:t>
            </w:r>
          </w:p>
        </w:tc>
      </w:tr>
    </w:tbl>
    <w:p>
      <w:pPr>
        <w:keepNext w:val="0"/>
        <w:keepLines w:val="0"/>
        <w:pageBreakBefore w:val="0"/>
        <w:numPr>
          <w:ilvl w:val="0"/>
          <w:numId w:val="0"/>
        </w:numPr>
        <w:kinsoku/>
        <w:wordWrap/>
        <w:overflowPunct/>
        <w:topLinePunct w:val="0"/>
        <w:bidi w:val="0"/>
        <w:snapToGrid/>
        <w:spacing w:line="560" w:lineRule="exact"/>
        <w:ind w:firstLine="640" w:firstLineChars="200"/>
        <w:jc w:val="both"/>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bidi w:val="0"/>
        <w:snapToGrid/>
        <w:spacing w:line="560" w:lineRule="exact"/>
        <w:ind w:firstLine="640" w:firstLineChars="200"/>
        <w:jc w:val="both"/>
        <w:rPr>
          <w:rFonts w:hint="eastAsia"/>
        </w:rPr>
      </w:pPr>
      <w:r>
        <w:rPr>
          <w:rFonts w:hint="eastAsia" w:ascii="仿宋_GB2312" w:hAnsi="仿宋_GB2312" w:eastAsia="仿宋_GB2312" w:cs="仿宋_GB2312"/>
          <w:sz w:val="32"/>
          <w:szCs w:val="32"/>
          <w:lang w:val="en-US" w:eastAsia="zh-CN"/>
        </w:rPr>
        <w:t>比如：张大爷在二级定点医疗机构住院共花了80000元，</w:t>
      </w:r>
      <w:r>
        <w:rPr>
          <w:rFonts w:hint="eastAsia" w:ascii="仿宋_GB2312" w:hAnsi="仿宋_GB2312" w:eastAsia="仿宋_GB2312" w:cs="仿宋_GB2312"/>
          <w:spacing w:val="-20"/>
          <w:sz w:val="32"/>
          <w:szCs w:val="32"/>
          <w:lang w:val="en-US" w:eastAsia="zh-CN"/>
        </w:rPr>
        <w:t>其中自费项目400元，基本医疗保险报销：63360元</w:t>
      </w:r>
      <w:r>
        <w:rPr>
          <w:rFonts w:hint="eastAsia" w:ascii="仿宋_GB2312" w:hAnsi="仿宋_GB2312" w:eastAsia="仿宋_GB2312" w:cs="仿宋_GB2312"/>
          <w:sz w:val="32"/>
          <w:szCs w:val="32"/>
          <w:lang w:val="en-US" w:eastAsia="zh-CN"/>
        </w:rPr>
        <w:t>=[80000-400（自费）-400（起付线）]*80%，居民大病保险报销3926元=[79200（自付费用）-63360（基本医疗报销）-9800（大病起付线）]*65%，此次住院张大爷共报销67286元=63360（基本医疗）+3926（大病），张大爷只需要付12714元。</w:t>
      </w:r>
    </w:p>
    <w:p>
      <w:pPr>
        <w:keepNext w:val="0"/>
        <w:keepLines w:val="0"/>
        <w:pageBreakBefore w:val="0"/>
        <w:kinsoku/>
        <w:wordWrap/>
        <w:overflowPunct/>
        <w:topLinePunct w:val="0"/>
        <w:bidi w:val="0"/>
        <w:snapToGrid/>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b w:val="0"/>
          <w:bCs/>
          <w:sz w:val="32"/>
          <w:szCs w:val="32"/>
          <w:lang w:val="en-US" w:eastAsia="zh-CN"/>
        </w:rPr>
        <w:t>四、重大疾病住院报销（特殊大病）：</w:t>
      </w:r>
      <w:r>
        <w:rPr>
          <w:rFonts w:hint="eastAsia" w:ascii="仿宋_GB2312" w:hAnsi="仿宋_GB2312" w:eastAsia="仿宋_GB2312" w:cs="仿宋_GB2312"/>
          <w:sz w:val="32"/>
          <w:szCs w:val="32"/>
        </w:rPr>
        <w:t>22类64种特殊重大疾病按病种限额费用标准结算，</w:t>
      </w:r>
      <w:r>
        <w:rPr>
          <w:rFonts w:hint="eastAsia" w:ascii="仿宋_GB2312" w:hAnsi="仿宋_GB2312" w:eastAsia="仿宋_GB2312" w:cs="仿宋_GB2312"/>
          <w:sz w:val="32"/>
          <w:szCs w:val="32"/>
          <w:lang w:eastAsia="zh-CN"/>
        </w:rPr>
        <w:t>住院</w:t>
      </w:r>
      <w:r>
        <w:rPr>
          <w:rFonts w:hint="eastAsia" w:ascii="仿宋_GB2312" w:hAnsi="仿宋_GB2312" w:eastAsia="仿宋_GB2312" w:cs="仿宋_GB2312"/>
          <w:sz w:val="32"/>
          <w:szCs w:val="32"/>
        </w:rPr>
        <w:t>支付不设起付线，</w:t>
      </w:r>
      <w:r>
        <w:rPr>
          <w:rFonts w:hint="eastAsia" w:ascii="仿宋_GB2312" w:hAnsi="仿宋_GB2312" w:eastAsia="仿宋_GB2312" w:cs="仿宋_GB2312"/>
          <w:sz w:val="32"/>
          <w:szCs w:val="32"/>
          <w:lang w:eastAsia="zh-CN"/>
        </w:rPr>
        <w:t>政策范围内费用</w:t>
      </w:r>
      <w:r>
        <w:rPr>
          <w:rFonts w:hint="eastAsia" w:ascii="仿宋_GB2312" w:hAnsi="仿宋_GB2312" w:eastAsia="仿宋_GB2312" w:cs="仿宋_GB2312"/>
          <w:sz w:val="32"/>
          <w:szCs w:val="32"/>
        </w:rPr>
        <w:t>基本医疗保险支付70%，大病保险支付25%。</w:t>
      </w:r>
    </w:p>
    <w:p>
      <w:pPr>
        <w:keepNext w:val="0"/>
        <w:keepLines w:val="0"/>
        <w:pageBreakBefore w:val="0"/>
        <w:kinsoku/>
        <w:wordWrap/>
        <w:overflowPunct/>
        <w:topLinePunct w:val="0"/>
        <w:bidi w:val="0"/>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类64种特殊大病：儿童白血病、儿童先心病、乳腺癌、宫颈癌、重性精神病、终末期肾病、耐多药结核、艾滋病、肺癌、食道癌、胃癌、结肠癌、直肠癌、慢性粒细胞白血病、急性心肌梗塞、脑梗死、血友病、Ⅰ型糖尿病、甲亢、唇腭裂、儿童苯丙酮尿症和尿道下裂。</w:t>
      </w:r>
    </w:p>
    <w:tbl>
      <w:tblPr>
        <w:tblStyle w:val="9"/>
        <w:tblW w:w="868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05"/>
        <w:gridCol w:w="880"/>
        <w:gridCol w:w="1665"/>
        <w:gridCol w:w="1545"/>
        <w:gridCol w:w="1440"/>
        <w:gridCol w:w="1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jc w:val="center"/>
        </w:trPr>
        <w:tc>
          <w:tcPr>
            <w:tcW w:w="1905"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特殊大病</w:t>
            </w:r>
          </w:p>
        </w:tc>
        <w:tc>
          <w:tcPr>
            <w:tcW w:w="88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起付线</w:t>
            </w:r>
          </w:p>
        </w:tc>
        <w:tc>
          <w:tcPr>
            <w:tcW w:w="166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政策范围内基本医保报销</w:t>
            </w:r>
          </w:p>
        </w:tc>
        <w:tc>
          <w:tcPr>
            <w:tcW w:w="154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大病保险报销</w:t>
            </w:r>
          </w:p>
        </w:tc>
        <w:tc>
          <w:tcPr>
            <w:tcW w:w="144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合计报销</w:t>
            </w:r>
          </w:p>
        </w:tc>
        <w:tc>
          <w:tcPr>
            <w:tcW w:w="1253"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905" w:type="dxa"/>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22</w:t>
            </w:r>
            <w:r>
              <w:rPr>
                <w:rStyle w:val="18"/>
                <w:rFonts w:hint="eastAsia" w:ascii="仿宋" w:hAnsi="仿宋" w:eastAsia="仿宋" w:cs="仿宋"/>
                <w:b/>
                <w:bCs/>
                <w:sz w:val="24"/>
                <w:szCs w:val="24"/>
                <w:lang w:val="en-US" w:eastAsia="zh-CN" w:bidi="ar"/>
              </w:rPr>
              <w:t>类</w:t>
            </w:r>
            <w:r>
              <w:rPr>
                <w:rStyle w:val="19"/>
                <w:rFonts w:hint="eastAsia" w:ascii="仿宋" w:hAnsi="仿宋" w:eastAsia="仿宋" w:cs="仿宋"/>
                <w:b/>
                <w:bCs/>
                <w:sz w:val="24"/>
                <w:szCs w:val="24"/>
                <w:lang w:val="en-US" w:eastAsia="zh-CN" w:bidi="ar"/>
              </w:rPr>
              <w:t>64</w:t>
            </w:r>
            <w:r>
              <w:rPr>
                <w:rStyle w:val="18"/>
                <w:rFonts w:hint="eastAsia" w:ascii="仿宋" w:hAnsi="仿宋" w:eastAsia="仿宋" w:cs="仿宋"/>
                <w:b/>
                <w:bCs/>
                <w:sz w:val="24"/>
                <w:szCs w:val="24"/>
                <w:lang w:val="en-US" w:eastAsia="zh-CN" w:bidi="ar"/>
              </w:rPr>
              <w:t>种大病</w:t>
            </w:r>
          </w:p>
        </w:tc>
        <w:tc>
          <w:tcPr>
            <w:tcW w:w="88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1665"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c>
          <w:tcPr>
            <w:tcW w:w="1545"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144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c>
          <w:tcPr>
            <w:tcW w:w="1253"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000000"/>
                <w:sz w:val="24"/>
                <w:szCs w:val="24"/>
                <w:u w:val="none"/>
              </w:rPr>
            </w:pPr>
          </w:p>
        </w:tc>
      </w:tr>
    </w:tbl>
    <w:p>
      <w:pPr>
        <w:keepNext w:val="0"/>
        <w:keepLines w:val="0"/>
        <w:pageBreakBefore w:val="0"/>
        <w:kinsoku/>
        <w:wordWrap/>
        <w:overflowPunct/>
        <w:topLinePunct w:val="0"/>
        <w:bidi w:val="0"/>
        <w:snapToGrid/>
        <w:spacing w:line="560" w:lineRule="exact"/>
        <w:ind w:firstLine="640" w:firstLineChars="200"/>
        <w:jc w:val="both"/>
        <w:rPr>
          <w:rFonts w:hint="eastAsia" w:ascii="黑体" w:hAnsi="黑体" w:eastAsia="黑体" w:cs="黑体"/>
          <w:b w:val="0"/>
          <w:bCs/>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五、医疗救助报销</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i w:val="0"/>
          <w:caps w:val="0"/>
          <w:color w:val="000000"/>
          <w:spacing w:val="-20"/>
          <w:sz w:val="32"/>
          <w:szCs w:val="32"/>
          <w:shd w:val="clear" w:color="auto" w:fill="FFFFFF"/>
          <w:lang w:eastAsia="zh-CN"/>
        </w:rPr>
      </w:pPr>
      <w:r>
        <w:rPr>
          <w:rFonts w:hint="default" w:ascii="Times New Roman" w:hAnsi="Times New Roman" w:eastAsia="仿宋_GB2312" w:cs="Times New Roman"/>
          <w:b/>
          <w:bCs/>
          <w:i w:val="0"/>
          <w:caps w:val="0"/>
          <w:color w:val="333333"/>
          <w:spacing w:val="0"/>
          <w:sz w:val="32"/>
          <w:szCs w:val="32"/>
          <w:shd w:val="clear" w:color="auto" w:fill="FFFFFF"/>
          <w:lang w:val="en-US" w:eastAsia="zh-CN"/>
        </w:rPr>
        <w:t>1.直接救助。</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对</w:t>
      </w:r>
      <w:r>
        <w:rPr>
          <w:rFonts w:hint="default" w:ascii="Times New Roman" w:hAnsi="Times New Roman" w:eastAsia="仿宋_GB2312" w:cs="Times New Roman"/>
          <w:i w:val="0"/>
          <w:caps w:val="0"/>
          <w:color w:val="333333"/>
          <w:spacing w:val="0"/>
          <w:sz w:val="32"/>
          <w:szCs w:val="32"/>
          <w:shd w:val="clear" w:color="auto" w:fill="FFFFFF"/>
          <w:lang w:val="en-US" w:eastAsia="zh-CN"/>
        </w:rPr>
        <w:t>特困人员</w:t>
      </w:r>
      <w:r>
        <w:rPr>
          <w:rFonts w:hint="eastAsia" w:ascii="Times New Roman" w:hAnsi="Times New Roman" w:eastAsia="仿宋_GB2312" w:cs="Times New Roman"/>
          <w:i w:val="0"/>
          <w:caps w:val="0"/>
          <w:color w:val="333333"/>
          <w:spacing w:val="0"/>
          <w:sz w:val="32"/>
          <w:szCs w:val="32"/>
          <w:shd w:val="clear" w:color="auto" w:fill="FFFFFF"/>
          <w:lang w:val="en-US" w:eastAsia="zh-CN"/>
        </w:rPr>
        <w:t>（孤儿）</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w:t>
      </w:r>
      <w:r>
        <w:rPr>
          <w:rFonts w:hint="default" w:ascii="Times New Roman" w:hAnsi="Times New Roman" w:eastAsia="仿宋_GB2312" w:cs="Times New Roman"/>
          <w:i w:val="0"/>
          <w:caps w:val="0"/>
          <w:color w:val="333333"/>
          <w:spacing w:val="0"/>
          <w:sz w:val="32"/>
          <w:szCs w:val="32"/>
          <w:shd w:val="clear" w:color="auto" w:fill="FFFFFF"/>
        </w:rPr>
        <w:t>低保对象</w:t>
      </w:r>
      <w:r>
        <w:rPr>
          <w:rFonts w:hint="eastAsia" w:ascii="Times New Roman" w:hAnsi="Times New Roman" w:eastAsia="仿宋_GB2312" w:cs="Times New Roman"/>
          <w:i w:val="0"/>
          <w:caps w:val="0"/>
          <w:color w:val="333333"/>
          <w:spacing w:val="0"/>
          <w:sz w:val="32"/>
          <w:szCs w:val="32"/>
          <w:shd w:val="clear" w:color="auto" w:fill="FFFFFF"/>
          <w:lang w:eastAsia="zh-CN"/>
        </w:rPr>
        <w:t>、</w:t>
      </w:r>
      <w:r>
        <w:rPr>
          <w:rFonts w:hint="default" w:ascii="Times New Roman" w:hAnsi="Times New Roman" w:eastAsia="仿宋_GB2312" w:cs="Times New Roman"/>
          <w:i w:val="0"/>
          <w:caps w:val="0"/>
          <w:color w:val="333333"/>
          <w:spacing w:val="0"/>
          <w:sz w:val="32"/>
          <w:szCs w:val="32"/>
          <w:shd w:val="clear" w:color="auto" w:fill="FFFFFF"/>
          <w:lang w:val="en-US" w:eastAsia="zh-CN"/>
        </w:rPr>
        <w:t>低保边缘对象</w:t>
      </w:r>
      <w:r>
        <w:rPr>
          <w:rFonts w:hint="eastAsia" w:ascii="Times New Roman" w:hAnsi="Times New Roman" w:eastAsia="仿宋_GB2312" w:cs="Times New Roman"/>
          <w:i w:val="0"/>
          <w:caps w:val="0"/>
          <w:color w:val="333333"/>
          <w:spacing w:val="0"/>
          <w:sz w:val="32"/>
          <w:szCs w:val="32"/>
          <w:shd w:val="clear" w:color="auto" w:fill="FFFFFF"/>
          <w:lang w:val="en-US" w:eastAsia="zh-CN"/>
        </w:rPr>
        <w:t>、</w:t>
      </w:r>
      <w:r>
        <w:rPr>
          <w:rFonts w:hint="default" w:ascii="Times New Roman" w:hAnsi="Times New Roman" w:eastAsia="仿宋_GB2312" w:cs="Times New Roman"/>
          <w:i w:val="0"/>
          <w:caps w:val="0"/>
          <w:color w:val="333333"/>
          <w:spacing w:val="0"/>
          <w:sz w:val="32"/>
          <w:szCs w:val="32"/>
          <w:shd w:val="clear" w:color="auto" w:fill="FFFFFF"/>
          <w:lang w:val="en-US" w:eastAsia="zh-CN"/>
        </w:rPr>
        <w:t>农村易返贫致贫人口</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发生的政策范围内费用，</w:t>
      </w:r>
      <w:r>
        <w:rPr>
          <w:rFonts w:hint="default" w:ascii="Times New Roman" w:hAnsi="Times New Roman" w:eastAsia="仿宋_GB2312" w:cs="Times New Roman"/>
          <w:i w:val="0"/>
          <w:caps w:val="0"/>
          <w:color w:val="auto"/>
          <w:spacing w:val="0"/>
          <w:sz w:val="32"/>
          <w:szCs w:val="32"/>
          <w:shd w:val="clear" w:color="auto" w:fill="FFFFFF"/>
          <w:lang w:val="en-US" w:eastAsia="zh-CN"/>
        </w:rPr>
        <w:t>经基本医保、大病保险支付后个人自付医疗费用</w:t>
      </w:r>
      <w:r>
        <w:rPr>
          <w:rFonts w:hint="default" w:ascii="Times New Roman" w:hAnsi="Times New Roman" w:eastAsia="仿宋_GB2312" w:cs="Times New Roman"/>
          <w:i w:val="0"/>
          <w:caps w:val="0"/>
          <w:color w:val="auto"/>
          <w:spacing w:val="0"/>
          <w:sz w:val="32"/>
          <w:szCs w:val="32"/>
          <w:shd w:val="clear" w:color="auto" w:fill="FFFFFF"/>
        </w:rPr>
        <w:t>实行直接救助</w:t>
      </w:r>
      <w:r>
        <w:rPr>
          <w:rFonts w:hint="eastAsia"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333333"/>
          <w:spacing w:val="0"/>
          <w:sz w:val="32"/>
          <w:szCs w:val="32"/>
          <w:shd w:val="clear" w:color="auto" w:fill="FFFFFF"/>
          <w:lang w:val="en-US" w:eastAsia="zh-CN"/>
        </w:rPr>
        <w:t>特困人员</w:t>
      </w:r>
      <w:r>
        <w:rPr>
          <w:rFonts w:hint="eastAsia" w:ascii="Times New Roman" w:hAnsi="Times New Roman" w:eastAsia="仿宋_GB2312" w:cs="Times New Roman"/>
          <w:i w:val="0"/>
          <w:caps w:val="0"/>
          <w:color w:val="333333"/>
          <w:spacing w:val="0"/>
          <w:sz w:val="32"/>
          <w:szCs w:val="32"/>
          <w:shd w:val="clear" w:color="auto" w:fill="FFFFFF"/>
          <w:lang w:val="en-US" w:eastAsia="zh-CN"/>
        </w:rPr>
        <w:t>（孤儿）</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发生的政策范围内费用</w:t>
      </w:r>
      <w:r>
        <w:rPr>
          <w:rFonts w:hint="default" w:ascii="Times New Roman" w:hAnsi="Times New Roman" w:eastAsia="仿宋_GB2312" w:cs="Times New Roman"/>
          <w:i w:val="0"/>
          <w:caps w:val="0"/>
          <w:color w:val="000000"/>
          <w:spacing w:val="0"/>
          <w:sz w:val="32"/>
          <w:szCs w:val="32"/>
          <w:shd w:val="clear" w:color="auto" w:fill="FFFFFF"/>
          <w:lang w:val="en-US" w:eastAsia="zh-CN"/>
        </w:rPr>
        <w:t>100%</w:t>
      </w:r>
      <w:r>
        <w:rPr>
          <w:rFonts w:hint="eastAsia" w:ascii="Times New Roman" w:hAnsi="Times New Roman" w:eastAsia="仿宋_GB2312" w:cs="Times New Roman"/>
          <w:i w:val="0"/>
          <w:caps w:val="0"/>
          <w:color w:val="000000"/>
          <w:spacing w:val="0"/>
          <w:sz w:val="32"/>
          <w:szCs w:val="32"/>
          <w:shd w:val="clear" w:color="auto" w:fill="FFFFFF"/>
          <w:lang w:val="en-US" w:eastAsia="zh-CN"/>
        </w:rPr>
        <w:t>进行</w:t>
      </w:r>
      <w:r>
        <w:rPr>
          <w:rFonts w:hint="default" w:ascii="Times New Roman" w:hAnsi="Times New Roman" w:eastAsia="仿宋_GB2312" w:cs="Times New Roman"/>
          <w:i w:val="0"/>
          <w:caps w:val="0"/>
          <w:color w:val="000000"/>
          <w:spacing w:val="0"/>
          <w:sz w:val="32"/>
          <w:szCs w:val="32"/>
          <w:shd w:val="clear" w:color="auto" w:fill="FFFFFF"/>
          <w:lang w:val="en-US" w:eastAsia="zh-CN"/>
        </w:rPr>
        <w:t>救助，</w:t>
      </w:r>
      <w:r>
        <w:rPr>
          <w:rFonts w:hint="eastAsia" w:ascii="Times New Roman" w:hAnsi="Times New Roman" w:eastAsia="仿宋_GB2312" w:cs="Times New Roman"/>
          <w:i w:val="0"/>
          <w:caps w:val="0"/>
          <w:color w:val="auto"/>
          <w:spacing w:val="0"/>
          <w:sz w:val="32"/>
          <w:szCs w:val="32"/>
          <w:shd w:val="clear" w:color="auto" w:fill="FFFFFF"/>
          <w:lang w:val="en-US" w:eastAsia="zh-CN"/>
        </w:rPr>
        <w:t>不设</w:t>
      </w:r>
      <w:r>
        <w:rPr>
          <w:rFonts w:hint="default" w:ascii="Times New Roman" w:hAnsi="Times New Roman" w:eastAsia="仿宋_GB2312" w:cs="Times New Roman"/>
          <w:i w:val="0"/>
          <w:caps w:val="0"/>
          <w:color w:val="000000"/>
          <w:spacing w:val="0"/>
          <w:sz w:val="32"/>
          <w:szCs w:val="32"/>
          <w:shd w:val="clear" w:color="auto" w:fill="FFFFFF"/>
          <w:lang w:val="en-US" w:eastAsia="zh-CN"/>
        </w:rPr>
        <w:t>年度救助起付标准</w:t>
      </w:r>
      <w:r>
        <w:rPr>
          <w:rFonts w:hint="eastAsia" w:ascii="Times New Roman" w:hAnsi="Times New Roman" w:eastAsia="仿宋_GB2312" w:cs="Times New Roman"/>
          <w:i w:val="0"/>
          <w:caps w:val="0"/>
          <w:color w:val="auto"/>
          <w:spacing w:val="0"/>
          <w:sz w:val="32"/>
          <w:szCs w:val="32"/>
          <w:shd w:val="clear" w:color="auto" w:fill="FFFFFF"/>
          <w:lang w:eastAsia="zh-CN"/>
        </w:rPr>
        <w:t>，</w:t>
      </w:r>
      <w:r>
        <w:rPr>
          <w:rFonts w:hint="eastAsia" w:ascii="Times New Roman" w:hAnsi="Times New Roman" w:eastAsia="仿宋_GB2312" w:cs="Times New Roman"/>
          <w:i w:val="0"/>
          <w:caps w:val="0"/>
          <w:color w:val="000000"/>
          <w:spacing w:val="0"/>
          <w:sz w:val="32"/>
          <w:szCs w:val="32"/>
          <w:shd w:val="clear" w:color="auto" w:fill="FFFFFF"/>
          <w:lang w:val="en-US" w:eastAsia="zh-CN"/>
        </w:rPr>
        <w:t>不设年度限额；</w:t>
      </w:r>
      <w:r>
        <w:rPr>
          <w:rFonts w:hint="default" w:ascii="Times New Roman" w:hAnsi="Times New Roman" w:eastAsia="仿宋_GB2312" w:cs="Times New Roman"/>
          <w:i w:val="0"/>
          <w:caps w:val="0"/>
          <w:color w:val="333333"/>
          <w:spacing w:val="0"/>
          <w:sz w:val="32"/>
          <w:szCs w:val="32"/>
          <w:shd w:val="clear" w:color="auto" w:fill="FFFFFF"/>
        </w:rPr>
        <w:t>低保对象</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发生的政策范围内费用</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75%</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进行救助</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w:t>
      </w:r>
      <w:r>
        <w:rPr>
          <w:rFonts w:hint="eastAsia" w:ascii="Times New Roman" w:hAnsi="Times New Roman" w:eastAsia="仿宋_GB2312" w:cs="Times New Roman"/>
          <w:i w:val="0"/>
          <w:caps w:val="0"/>
          <w:color w:val="auto"/>
          <w:spacing w:val="0"/>
          <w:sz w:val="32"/>
          <w:szCs w:val="32"/>
          <w:shd w:val="clear" w:color="auto" w:fill="FFFFFF"/>
          <w:lang w:val="en-US" w:eastAsia="zh-CN"/>
        </w:rPr>
        <w:t>不设</w:t>
      </w:r>
      <w:r>
        <w:rPr>
          <w:rFonts w:hint="default" w:ascii="Times New Roman" w:hAnsi="Times New Roman" w:eastAsia="仿宋_GB2312" w:cs="Times New Roman"/>
          <w:i w:val="0"/>
          <w:caps w:val="0"/>
          <w:color w:val="000000"/>
          <w:spacing w:val="0"/>
          <w:sz w:val="32"/>
          <w:szCs w:val="32"/>
          <w:shd w:val="clear" w:color="auto" w:fill="FFFFFF"/>
          <w:lang w:val="en-US" w:eastAsia="zh-CN"/>
        </w:rPr>
        <w:t>年度救助起付标准</w:t>
      </w:r>
      <w:r>
        <w:rPr>
          <w:rFonts w:hint="eastAsia"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年度最高支付限额5万元。</w:t>
      </w:r>
      <w:r>
        <w:rPr>
          <w:rFonts w:hint="default" w:ascii="Times New Roman" w:hAnsi="Times New Roman" w:eastAsia="仿宋_GB2312" w:cs="Times New Roman"/>
          <w:i w:val="0"/>
          <w:caps w:val="0"/>
          <w:color w:val="333333"/>
          <w:spacing w:val="0"/>
          <w:sz w:val="32"/>
          <w:szCs w:val="32"/>
          <w:shd w:val="clear" w:color="auto" w:fill="FFFFFF"/>
          <w:lang w:val="en-US" w:eastAsia="zh-CN"/>
        </w:rPr>
        <w:t>低保边缘对象</w:t>
      </w:r>
      <w:r>
        <w:rPr>
          <w:rFonts w:hint="eastAsia" w:ascii="Times New Roman" w:hAnsi="Times New Roman" w:eastAsia="仿宋_GB2312" w:cs="Times New Roman"/>
          <w:i w:val="0"/>
          <w:caps w:val="0"/>
          <w:color w:val="333333"/>
          <w:spacing w:val="0"/>
          <w:sz w:val="32"/>
          <w:szCs w:val="32"/>
          <w:shd w:val="clear" w:color="auto" w:fill="FFFFFF"/>
          <w:lang w:val="en-US" w:eastAsia="zh-CN"/>
        </w:rPr>
        <w:t>、</w:t>
      </w:r>
      <w:r>
        <w:rPr>
          <w:rFonts w:hint="default" w:ascii="Times New Roman" w:hAnsi="Times New Roman" w:eastAsia="仿宋_GB2312" w:cs="Times New Roman"/>
          <w:i w:val="0"/>
          <w:caps w:val="0"/>
          <w:color w:val="333333"/>
          <w:spacing w:val="0"/>
          <w:sz w:val="32"/>
          <w:szCs w:val="32"/>
          <w:shd w:val="clear" w:color="auto" w:fill="FFFFFF"/>
          <w:lang w:val="en-US" w:eastAsia="zh-CN"/>
        </w:rPr>
        <w:t>农村易返贫致贫人口</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发生的政策范围内费用</w:t>
      </w:r>
      <w:r>
        <w:rPr>
          <w:rFonts w:hint="eastAsia" w:ascii="Times New Roman" w:hAnsi="Times New Roman" w:eastAsia="仿宋_GB2312" w:cs="Times New Roman"/>
          <w:i w:val="0"/>
          <w:caps w:val="0"/>
          <w:color w:val="000000"/>
          <w:spacing w:val="0"/>
          <w:sz w:val="32"/>
          <w:szCs w:val="32"/>
          <w:shd w:val="clear" w:color="auto" w:fill="FFFFFF"/>
          <w:lang w:val="en-US" w:eastAsia="zh-CN"/>
        </w:rPr>
        <w:t>70</w:t>
      </w:r>
      <w:r>
        <w:rPr>
          <w:rFonts w:hint="default" w:ascii="Times New Roman" w:hAnsi="Times New Roman" w:eastAsia="仿宋_GB2312" w:cs="Times New Roman"/>
          <w:i w:val="0"/>
          <w:caps w:val="0"/>
          <w:color w:val="000000"/>
          <w:spacing w:val="0"/>
          <w:sz w:val="32"/>
          <w:szCs w:val="32"/>
          <w:shd w:val="clear" w:color="auto" w:fill="FFFFFF"/>
          <w:lang w:val="en-US" w:eastAsia="zh-CN"/>
        </w:rPr>
        <w:t>%</w:t>
      </w:r>
      <w:r>
        <w:rPr>
          <w:rFonts w:hint="eastAsia" w:ascii="Times New Roman" w:hAnsi="Times New Roman" w:eastAsia="仿宋_GB2312" w:cs="Times New Roman"/>
          <w:i w:val="0"/>
          <w:caps w:val="0"/>
          <w:color w:val="000000"/>
          <w:spacing w:val="0"/>
          <w:sz w:val="32"/>
          <w:szCs w:val="32"/>
          <w:shd w:val="clear" w:color="auto" w:fill="FFFFFF"/>
          <w:lang w:val="en-US" w:eastAsia="zh-CN"/>
        </w:rPr>
        <w:t>进行</w:t>
      </w:r>
      <w:r>
        <w:rPr>
          <w:rFonts w:hint="default" w:ascii="Times New Roman" w:hAnsi="Times New Roman" w:eastAsia="仿宋_GB2312" w:cs="Times New Roman"/>
          <w:i w:val="0"/>
          <w:caps w:val="0"/>
          <w:color w:val="000000"/>
          <w:spacing w:val="0"/>
          <w:sz w:val="32"/>
          <w:szCs w:val="32"/>
          <w:shd w:val="clear" w:color="auto" w:fill="FFFFFF"/>
          <w:lang w:val="en-US" w:eastAsia="zh-CN"/>
        </w:rPr>
        <w:t>救助</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w:t>
      </w:r>
      <w:r>
        <w:rPr>
          <w:rFonts w:hint="default" w:ascii="Times New Roman" w:hAnsi="Times New Roman" w:eastAsia="仿宋_GB2312" w:cs="Times New Roman"/>
          <w:i w:val="0"/>
          <w:caps w:val="0"/>
          <w:color w:val="000000"/>
          <w:spacing w:val="0"/>
          <w:sz w:val="32"/>
          <w:szCs w:val="32"/>
          <w:shd w:val="clear" w:color="auto" w:fill="FFFFFF"/>
          <w:lang w:val="en-US" w:eastAsia="zh-CN"/>
        </w:rPr>
        <w:t>救助起付标准</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按州直上年度居民人均可支配收入的10%左右设定</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年度救助起付标</w:t>
      </w:r>
      <w:r>
        <w:rPr>
          <w:rFonts w:hint="default" w:ascii="Times New Roman" w:hAnsi="Times New Roman" w:eastAsia="仿宋_GB2312" w:cs="Times New Roman"/>
          <w:i w:val="0"/>
          <w:caps w:val="0"/>
          <w:color w:val="000000"/>
          <w:spacing w:val="-20"/>
          <w:sz w:val="32"/>
          <w:szCs w:val="32"/>
          <w:highlight w:val="none"/>
          <w:shd w:val="clear" w:color="auto" w:fill="FFFFFF"/>
          <w:lang w:val="en-US" w:eastAsia="zh-CN"/>
        </w:rPr>
        <w:t>准（2023年暂定为2500元/年）</w:t>
      </w:r>
      <w:r>
        <w:rPr>
          <w:rFonts w:hint="eastAsia" w:ascii="Times New Roman" w:hAnsi="Times New Roman" w:eastAsia="仿宋_GB2312" w:cs="Times New Roman"/>
          <w:i w:val="0"/>
          <w:caps w:val="0"/>
          <w:color w:val="000000"/>
          <w:spacing w:val="-20"/>
          <w:sz w:val="32"/>
          <w:szCs w:val="32"/>
          <w:highlight w:val="none"/>
          <w:shd w:val="clear" w:color="auto" w:fill="FFFFFF"/>
          <w:lang w:val="en-US" w:eastAsia="zh-CN"/>
        </w:rPr>
        <w:t>，</w:t>
      </w:r>
      <w:r>
        <w:rPr>
          <w:rFonts w:hint="default" w:ascii="Times New Roman" w:hAnsi="Times New Roman" w:eastAsia="仿宋_GB2312" w:cs="Times New Roman"/>
          <w:i w:val="0"/>
          <w:caps w:val="0"/>
          <w:color w:val="000000"/>
          <w:spacing w:val="-20"/>
          <w:sz w:val="32"/>
          <w:szCs w:val="32"/>
          <w:highlight w:val="none"/>
          <w:shd w:val="clear" w:color="auto" w:fill="FFFFFF"/>
          <w:lang w:val="en-US" w:eastAsia="zh-CN"/>
        </w:rPr>
        <w:t>年度最高支付限额5万元。</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b/>
          <w:bCs/>
          <w:i w:val="0"/>
          <w:caps w:val="0"/>
          <w:color w:val="000000"/>
          <w:spacing w:val="0"/>
          <w:sz w:val="32"/>
          <w:szCs w:val="32"/>
          <w:shd w:val="clear" w:color="auto" w:fill="FFFFFF"/>
          <w:lang w:val="en-US" w:eastAsia="zh-CN"/>
        </w:rPr>
        <w:t>2.依申请救助。</w:t>
      </w:r>
      <w:r>
        <w:rPr>
          <w:rFonts w:hint="default" w:ascii="Times New Roman" w:hAnsi="Times New Roman" w:eastAsia="仿宋_GB2312" w:cs="Times New Roman"/>
          <w:i w:val="0"/>
          <w:caps w:val="0"/>
          <w:color w:val="000000"/>
          <w:spacing w:val="0"/>
          <w:sz w:val="32"/>
          <w:szCs w:val="32"/>
          <w:shd w:val="clear" w:color="auto" w:fill="FFFFFF"/>
          <w:lang w:val="en-US" w:eastAsia="zh-CN"/>
        </w:rPr>
        <w:t>对</w:t>
      </w:r>
      <w:r>
        <w:rPr>
          <w:rFonts w:hint="default" w:ascii="Times New Roman" w:hAnsi="Times New Roman" w:eastAsia="仿宋_GB2312" w:cs="Times New Roman"/>
          <w:i w:val="0"/>
          <w:caps w:val="0"/>
          <w:color w:val="333333"/>
          <w:spacing w:val="0"/>
          <w:sz w:val="32"/>
          <w:szCs w:val="32"/>
          <w:shd w:val="clear" w:color="auto" w:fill="FFFFFF"/>
        </w:rPr>
        <w:t>因病致贫重病患者</w:t>
      </w:r>
      <w:r>
        <w:rPr>
          <w:rFonts w:hint="default" w:ascii="Times New Roman" w:hAnsi="Times New Roman" w:eastAsia="仿宋_GB2312" w:cs="Times New Roman"/>
          <w:i w:val="0"/>
          <w:caps w:val="0"/>
          <w:color w:val="000000"/>
          <w:spacing w:val="0"/>
          <w:sz w:val="32"/>
          <w:szCs w:val="32"/>
          <w:shd w:val="clear" w:color="auto" w:fill="FFFFFF"/>
          <w:lang w:val="en-US" w:eastAsia="zh-CN"/>
        </w:rPr>
        <w:t>依申请纳入医疗救助范围，</w:t>
      </w:r>
      <w:r>
        <w:rPr>
          <w:rFonts w:hint="default" w:ascii="Times New Roman" w:hAnsi="Times New Roman" w:eastAsia="仿宋_GB2312" w:cs="Times New Roman"/>
          <w:i w:val="0"/>
          <w:caps w:val="0"/>
          <w:color w:val="000000"/>
          <w:spacing w:val="0"/>
          <w:sz w:val="32"/>
          <w:szCs w:val="32"/>
          <w:shd w:val="clear" w:color="auto" w:fill="FFFFFF"/>
        </w:rPr>
        <w:t>政策范围内住院及门诊慢特病医疗费用，经基本医保、大病保险支付后</w:t>
      </w:r>
      <w:r>
        <w:rPr>
          <w:rFonts w:hint="default" w:ascii="Times New Roman" w:hAnsi="Times New Roman" w:eastAsia="仿宋_GB2312" w:cs="Times New Roman"/>
          <w:i w:val="0"/>
          <w:caps w:val="0"/>
          <w:color w:val="000000"/>
          <w:spacing w:val="0"/>
          <w:sz w:val="32"/>
          <w:szCs w:val="32"/>
          <w:shd w:val="clear" w:color="auto" w:fill="FFFFFF"/>
          <w:lang w:val="en-US" w:eastAsia="zh-CN"/>
        </w:rPr>
        <w:t>个人自付医疗费用65%</w:t>
      </w:r>
      <w:r>
        <w:rPr>
          <w:rFonts w:hint="eastAsia" w:ascii="Times New Roman" w:hAnsi="Times New Roman" w:eastAsia="仿宋_GB2312" w:cs="Times New Roman"/>
          <w:i w:val="0"/>
          <w:caps w:val="0"/>
          <w:color w:val="000000"/>
          <w:spacing w:val="0"/>
          <w:sz w:val="32"/>
          <w:szCs w:val="32"/>
          <w:shd w:val="clear" w:color="auto" w:fill="FFFFFF"/>
          <w:lang w:val="en-US" w:eastAsia="zh-CN"/>
        </w:rPr>
        <w:t>进行救助</w:t>
      </w:r>
      <w:r>
        <w:rPr>
          <w:rFonts w:hint="default" w:ascii="Times New Roman" w:hAnsi="Times New Roman" w:eastAsia="仿宋_GB2312" w:cs="Times New Roman"/>
          <w:i w:val="0"/>
          <w:caps w:val="0"/>
          <w:color w:val="auto"/>
          <w:spacing w:val="0"/>
          <w:sz w:val="32"/>
          <w:szCs w:val="32"/>
          <w:shd w:val="clear" w:color="auto" w:fill="FFFFFF"/>
          <w:lang w:val="en-US" w:eastAsia="zh-CN"/>
        </w:rPr>
        <w:t>，</w:t>
      </w:r>
      <w:r>
        <w:rPr>
          <w:rFonts w:hint="default" w:ascii="Times New Roman" w:hAnsi="Times New Roman" w:eastAsia="仿宋_GB2312" w:cs="Times New Roman"/>
          <w:i w:val="0"/>
          <w:caps w:val="0"/>
          <w:color w:val="auto"/>
          <w:spacing w:val="0"/>
          <w:sz w:val="32"/>
          <w:szCs w:val="32"/>
          <w:shd w:val="clear" w:color="auto" w:fill="FFFFFF"/>
        </w:rPr>
        <w:t>救</w:t>
      </w:r>
      <w:r>
        <w:rPr>
          <w:rFonts w:hint="default" w:ascii="Times New Roman" w:hAnsi="Times New Roman" w:eastAsia="仿宋_GB2312" w:cs="Times New Roman"/>
          <w:i w:val="0"/>
          <w:caps w:val="0"/>
          <w:color w:val="000000"/>
          <w:spacing w:val="0"/>
          <w:sz w:val="32"/>
          <w:szCs w:val="32"/>
          <w:shd w:val="clear" w:color="auto" w:fill="FFFFFF"/>
        </w:rPr>
        <w:t>助起付标准</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按伊犁州直上年度居民人均可支配收入的25%左右设定年度</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i w:val="0"/>
          <w:caps w:val="0"/>
          <w:color w:val="000000"/>
          <w:spacing w:val="0"/>
          <w:sz w:val="32"/>
          <w:szCs w:val="32"/>
          <w:shd w:val="clear" w:color="auto" w:fill="FFFFFF"/>
          <w:lang w:val="en-US" w:eastAsia="zh-CN"/>
        </w:rPr>
        <w:t>2023年暂定为6000元/年</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i w:val="0"/>
          <w:caps w:val="0"/>
          <w:color w:val="000000"/>
          <w:spacing w:val="0"/>
          <w:sz w:val="32"/>
          <w:szCs w:val="32"/>
          <w:shd w:val="clear" w:color="auto" w:fill="FFFFFF"/>
        </w:rPr>
        <w:t>，年度</w:t>
      </w:r>
      <w:r>
        <w:rPr>
          <w:rFonts w:hint="default" w:ascii="Times New Roman" w:hAnsi="Times New Roman" w:eastAsia="仿宋_GB2312" w:cs="Times New Roman"/>
          <w:i w:val="0"/>
          <w:caps w:val="0"/>
          <w:color w:val="000000"/>
          <w:spacing w:val="0"/>
          <w:sz w:val="32"/>
          <w:szCs w:val="32"/>
          <w:shd w:val="clear" w:color="auto" w:fill="FFFFFF"/>
          <w:lang w:val="en-US" w:eastAsia="zh-CN"/>
        </w:rPr>
        <w:t>最高支付</w:t>
      </w:r>
      <w:r>
        <w:rPr>
          <w:rFonts w:hint="default" w:ascii="Times New Roman" w:hAnsi="Times New Roman" w:eastAsia="仿宋_GB2312" w:cs="Times New Roman"/>
          <w:i w:val="0"/>
          <w:caps w:val="0"/>
          <w:color w:val="000000"/>
          <w:spacing w:val="0"/>
          <w:sz w:val="32"/>
          <w:szCs w:val="32"/>
          <w:shd w:val="clear" w:color="auto" w:fill="FFFFFF"/>
        </w:rPr>
        <w:t>限额</w:t>
      </w:r>
      <w:r>
        <w:rPr>
          <w:rFonts w:hint="default" w:ascii="Times New Roman" w:hAnsi="Times New Roman" w:eastAsia="仿宋_GB2312" w:cs="Times New Roman"/>
          <w:i w:val="0"/>
          <w:caps w:val="0"/>
          <w:color w:val="000000"/>
          <w:spacing w:val="0"/>
          <w:sz w:val="32"/>
          <w:szCs w:val="32"/>
          <w:shd w:val="clear" w:color="auto" w:fill="FFFFFF"/>
          <w:lang w:val="en-US" w:eastAsia="zh-CN"/>
        </w:rPr>
        <w:t>5万元</w:t>
      </w:r>
      <w:r>
        <w:rPr>
          <w:rFonts w:hint="default" w:ascii="Times New Roman" w:hAnsi="Times New Roman" w:eastAsia="仿宋_GB2312" w:cs="Times New Roman"/>
          <w:i w:val="0"/>
          <w:caps w:val="0"/>
          <w:color w:val="000000"/>
          <w:spacing w:val="0"/>
          <w:sz w:val="32"/>
          <w:szCs w:val="32"/>
          <w:shd w:val="clear" w:color="auto"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仿宋_GB2312" w:cs="Times New Roman"/>
          <w:b/>
          <w:bCs/>
          <w:i w:val="0"/>
          <w:caps w:val="0"/>
          <w:color w:val="000000"/>
          <w:spacing w:val="0"/>
          <w:sz w:val="32"/>
          <w:szCs w:val="32"/>
          <w:shd w:val="clear" w:color="auto" w:fill="FFFFFF"/>
          <w:lang w:val="en-US" w:eastAsia="zh-CN"/>
        </w:rPr>
        <w:t>3.倾斜救助。</w:t>
      </w:r>
      <w:r>
        <w:rPr>
          <w:rFonts w:hint="default" w:ascii="Times New Roman" w:hAnsi="Times New Roman" w:eastAsia="仿宋_GB2312" w:cs="Times New Roman"/>
          <w:sz w:val="32"/>
          <w:szCs w:val="32"/>
          <w:lang w:val="en-US" w:eastAsia="zh-CN"/>
        </w:rPr>
        <w:t>对规范转诊的医疗救助对象，经医保三重制度保障后政策范围内，个人自付费用仍然较重的，超过防止返贫监测范围（2023年度为8000元）</w:t>
      </w:r>
      <w:r>
        <w:rPr>
          <w:rFonts w:hint="default" w:ascii="Times New Roman" w:hAnsi="Times New Roman" w:eastAsia="仿宋_GB2312" w:cs="Times New Roman"/>
          <w:i w:val="0"/>
          <w:caps w:val="0"/>
          <w:color w:val="000000"/>
          <w:spacing w:val="0"/>
          <w:sz w:val="32"/>
          <w:szCs w:val="32"/>
          <w:shd w:val="clear" w:color="auto" w:fill="FFFFFF"/>
          <w:lang w:val="en-US" w:eastAsia="zh-CN"/>
        </w:rPr>
        <w:t>政策范围内个人自付医疗费用救助比例按80</w:t>
      </w:r>
      <w:r>
        <w:rPr>
          <w:rFonts w:hint="default" w:ascii="Times New Roman" w:hAnsi="Times New Roman" w:eastAsia="仿宋_GB2312" w:cs="Times New Roman"/>
          <w:i w:val="0"/>
          <w:caps w:val="0"/>
          <w:color w:val="000000"/>
          <w:spacing w:val="0"/>
          <w:sz w:val="32"/>
          <w:szCs w:val="32"/>
          <w:shd w:val="clear" w:color="auto" w:fill="FFFFFF"/>
        </w:rPr>
        <w:t>%</w:t>
      </w:r>
      <w:r>
        <w:rPr>
          <w:rFonts w:hint="default" w:ascii="Times New Roman" w:hAnsi="Times New Roman" w:eastAsia="仿宋_GB2312" w:cs="Times New Roman"/>
          <w:i w:val="0"/>
          <w:caps w:val="0"/>
          <w:color w:val="333333"/>
          <w:spacing w:val="0"/>
          <w:sz w:val="32"/>
          <w:szCs w:val="32"/>
          <w:shd w:val="clear" w:color="auto" w:fill="FFFFFF"/>
        </w:rPr>
        <w:t>实行倾斜救助，倾斜救助不计入年度救助限额。</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333333"/>
          <w:spacing w:val="0"/>
          <w:sz w:val="32"/>
          <w:szCs w:val="32"/>
          <w:shd w:val="clear" w:color="auto"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333333"/>
          <w:spacing w:val="0"/>
          <w:sz w:val="32"/>
          <w:szCs w:val="32"/>
          <w:shd w:val="clear" w:color="auto" w:fill="FFFFFF"/>
        </w:rPr>
      </w:pPr>
    </w:p>
    <w:tbl>
      <w:tblPr>
        <w:tblStyle w:val="10"/>
        <w:tblW w:w="9397"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058"/>
        <w:gridCol w:w="1237"/>
        <w:gridCol w:w="1350"/>
        <w:gridCol w:w="1395"/>
        <w:gridCol w:w="166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13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b/>
                <w:bCs/>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b/>
                <w:bCs/>
                <w:i w:val="0"/>
                <w:caps w:val="0"/>
                <w:color w:val="000000"/>
                <w:spacing w:val="0"/>
                <w:sz w:val="21"/>
                <w:szCs w:val="21"/>
                <w:shd w:val="clear" w:color="auto" w:fill="FFFFFF"/>
                <w:vertAlign w:val="baseline"/>
                <w:lang w:val="en-US" w:eastAsia="zh-CN"/>
              </w:rPr>
              <w:t>分类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ascii="仿宋_GB2312" w:hAnsi="仿宋_GB2312" w:eastAsia="仿宋_GB2312" w:cs="仿宋_GB2312"/>
                <w:b/>
                <w:bCs/>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b/>
                <w:bCs/>
                <w:i w:val="0"/>
                <w:caps w:val="0"/>
                <w:color w:val="000000"/>
                <w:spacing w:val="0"/>
                <w:sz w:val="21"/>
                <w:szCs w:val="21"/>
                <w:shd w:val="clear" w:color="auto" w:fill="FFFFFF"/>
                <w:vertAlign w:val="baseline"/>
                <w:lang w:val="en-US" w:eastAsia="zh-CN"/>
              </w:rPr>
              <w:t>救助</w:t>
            </w:r>
          </w:p>
        </w:tc>
        <w:tc>
          <w:tcPr>
            <w:tcW w:w="3645" w:type="dxa"/>
            <w:gridSpan w:val="3"/>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b/>
                <w:bCs/>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b/>
                <w:bCs/>
                <w:i w:val="0"/>
                <w:caps w:val="0"/>
                <w:color w:val="000000"/>
                <w:spacing w:val="0"/>
                <w:sz w:val="21"/>
                <w:szCs w:val="21"/>
                <w:shd w:val="clear" w:color="auto" w:fill="FFFFFF"/>
                <w:vertAlign w:val="baseline"/>
                <w:lang w:val="en-US" w:eastAsia="zh-CN"/>
              </w:rPr>
              <w:t>直接救助</w:t>
            </w:r>
          </w:p>
        </w:tc>
        <w:tc>
          <w:tcPr>
            <w:tcW w:w="139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b/>
                <w:bCs/>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b/>
                <w:bCs/>
                <w:i w:val="0"/>
                <w:caps w:val="0"/>
                <w:color w:val="000000"/>
                <w:spacing w:val="0"/>
                <w:sz w:val="21"/>
                <w:szCs w:val="21"/>
                <w:shd w:val="clear" w:color="auto" w:fill="FFFFFF"/>
                <w:vertAlign w:val="baseline"/>
                <w:lang w:val="en-US" w:eastAsia="zh-CN"/>
              </w:rPr>
              <w:t>依申请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b/>
                <w:bCs/>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b/>
                <w:bCs/>
                <w:i w:val="0"/>
                <w:caps w:val="0"/>
                <w:color w:val="000000"/>
                <w:spacing w:val="0"/>
                <w:sz w:val="21"/>
                <w:szCs w:val="21"/>
                <w:shd w:val="clear" w:color="auto" w:fill="FFFFFF"/>
                <w:vertAlign w:val="baseline"/>
                <w:lang w:val="en-US" w:eastAsia="zh-CN"/>
              </w:rPr>
              <w:t>救助</w:t>
            </w:r>
          </w:p>
        </w:tc>
        <w:tc>
          <w:tcPr>
            <w:tcW w:w="166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b/>
                <w:bCs/>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b/>
                <w:bCs/>
                <w:sz w:val="21"/>
                <w:szCs w:val="21"/>
                <w:lang w:val="en-US" w:eastAsia="zh-CN"/>
              </w:rPr>
              <w:t>倾斜救助</w:t>
            </w:r>
          </w:p>
        </w:tc>
        <w:tc>
          <w:tcPr>
            <w:tcW w:w="156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ascii="仿宋_GB2312" w:hAnsi="仿宋_GB2312" w:eastAsia="仿宋_GB2312" w:cs="仿宋_GB2312"/>
                <w:b/>
                <w:bCs/>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b/>
                <w:bCs/>
                <w:i w:val="0"/>
                <w:caps w:val="0"/>
                <w:color w:val="000000"/>
                <w:spacing w:val="0"/>
                <w:sz w:val="21"/>
                <w:szCs w:val="21"/>
                <w:shd w:val="clear" w:color="auto"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113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ascii="仿宋_GB2312" w:hAnsi="仿宋_GB2312" w:eastAsia="仿宋_GB2312" w:cs="仿宋_GB2312"/>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t>救助对象类别</w:t>
            </w:r>
          </w:p>
        </w:tc>
        <w:tc>
          <w:tcPr>
            <w:tcW w:w="1058"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t>特困人员（含孤儿）</w:t>
            </w:r>
          </w:p>
        </w:tc>
        <w:tc>
          <w:tcPr>
            <w:tcW w:w="1237"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i w:val="0"/>
                <w:caps w:val="0"/>
                <w:color w:val="333333"/>
                <w:spacing w:val="0"/>
                <w:sz w:val="21"/>
                <w:szCs w:val="21"/>
                <w:shd w:val="clear" w:color="auto" w:fill="FFFFFF"/>
              </w:rPr>
              <w:t>低保对象</w:t>
            </w:r>
          </w:p>
        </w:tc>
        <w:tc>
          <w:tcPr>
            <w:tcW w:w="135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i w:val="0"/>
                <w:caps w:val="0"/>
                <w:color w:val="333333"/>
                <w:spacing w:val="0"/>
                <w:sz w:val="21"/>
                <w:szCs w:val="21"/>
                <w:shd w:val="clear" w:color="auto" w:fill="FFFFFF"/>
                <w:lang w:val="en-US" w:eastAsia="zh-CN"/>
              </w:rPr>
              <w:t>低保边缘对象、农村易返贫致贫人口</w:t>
            </w:r>
          </w:p>
        </w:tc>
        <w:tc>
          <w:tcPr>
            <w:tcW w:w="139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i w:val="0"/>
                <w:caps w:val="0"/>
                <w:color w:val="333333"/>
                <w:spacing w:val="0"/>
                <w:sz w:val="21"/>
                <w:szCs w:val="21"/>
                <w:shd w:val="clear" w:color="auto" w:fill="FFFFFF"/>
              </w:rPr>
              <w:t>因病致贫重病患者</w:t>
            </w:r>
          </w:p>
        </w:tc>
        <w:tc>
          <w:tcPr>
            <w:tcW w:w="166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left"/>
              <w:textAlignment w:val="auto"/>
              <w:rPr>
                <w:rFonts w:hint="default" w:ascii="仿宋_GB2312" w:hAnsi="仿宋_GB2312" w:eastAsia="仿宋_GB2312" w:cs="仿宋_GB2312"/>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sz w:val="21"/>
                <w:szCs w:val="21"/>
                <w:lang w:val="en-US" w:eastAsia="zh-CN"/>
              </w:rPr>
              <w:t>经医保三重制度保障后政策范围内，个人自付费用仍然较重的患者</w:t>
            </w:r>
          </w:p>
        </w:tc>
        <w:tc>
          <w:tcPr>
            <w:tcW w:w="156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13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i w:val="0"/>
                <w:caps w:val="0"/>
                <w:color w:val="000000"/>
                <w:spacing w:val="0"/>
                <w:sz w:val="21"/>
                <w:szCs w:val="21"/>
                <w:shd w:val="clear" w:color="auto" w:fill="FFFFFF"/>
                <w:lang w:val="en-US" w:eastAsia="zh-CN"/>
              </w:rPr>
              <w:t>起付标准</w:t>
            </w:r>
          </w:p>
        </w:tc>
        <w:tc>
          <w:tcPr>
            <w:tcW w:w="1058"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t>0</w:t>
            </w:r>
          </w:p>
        </w:tc>
        <w:tc>
          <w:tcPr>
            <w:tcW w:w="1237"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t>0</w:t>
            </w:r>
          </w:p>
        </w:tc>
        <w:tc>
          <w:tcPr>
            <w:tcW w:w="135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t>2500元/年</w:t>
            </w:r>
          </w:p>
        </w:tc>
        <w:tc>
          <w:tcPr>
            <w:tcW w:w="139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t>6000元/年</w:t>
            </w:r>
          </w:p>
        </w:tc>
        <w:tc>
          <w:tcPr>
            <w:tcW w:w="166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仿宋_GB2312" w:hAnsi="仿宋_GB2312" w:eastAsia="仿宋_GB2312" w:cs="仿宋_GB2312"/>
                <w:i w:val="0"/>
                <w:caps w:val="0"/>
                <w:color w:val="000000"/>
                <w:spacing w:val="0"/>
                <w:kern w:val="0"/>
                <w:sz w:val="21"/>
                <w:szCs w:val="21"/>
                <w:shd w:val="clear" w:color="auto" w:fill="FFFFFF"/>
                <w:vertAlign w:val="baseline"/>
                <w:lang w:val="en-US" w:eastAsia="zh-CN" w:bidi="ar-SA"/>
              </w:rPr>
            </w:pPr>
            <w:r>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t>8000元/年</w:t>
            </w:r>
          </w:p>
        </w:tc>
        <w:tc>
          <w:tcPr>
            <w:tcW w:w="156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13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i w:val="0"/>
                <w:caps w:val="0"/>
                <w:color w:val="000000"/>
                <w:spacing w:val="0"/>
                <w:sz w:val="21"/>
                <w:szCs w:val="21"/>
                <w:highlight w:val="none"/>
                <w:shd w:val="clear" w:color="auto" w:fill="FFFFFF"/>
                <w:lang w:val="en-US" w:eastAsia="zh-CN"/>
              </w:rPr>
              <w:t>最高支付限额</w:t>
            </w:r>
          </w:p>
        </w:tc>
        <w:tc>
          <w:tcPr>
            <w:tcW w:w="1058"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t>不设限额</w:t>
            </w:r>
          </w:p>
        </w:tc>
        <w:tc>
          <w:tcPr>
            <w:tcW w:w="1237"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t>50000元/年</w:t>
            </w:r>
          </w:p>
        </w:tc>
        <w:tc>
          <w:tcPr>
            <w:tcW w:w="135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t>50000元/年</w:t>
            </w:r>
          </w:p>
        </w:tc>
        <w:tc>
          <w:tcPr>
            <w:tcW w:w="139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t>50000元/年</w:t>
            </w:r>
          </w:p>
        </w:tc>
        <w:tc>
          <w:tcPr>
            <w:tcW w:w="166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仿宋_GB2312" w:hAnsi="仿宋_GB2312" w:eastAsia="仿宋_GB2312" w:cs="仿宋_GB2312"/>
                <w:i w:val="0"/>
                <w:caps w:val="0"/>
                <w:color w:val="000000"/>
                <w:spacing w:val="0"/>
                <w:kern w:val="0"/>
                <w:sz w:val="21"/>
                <w:szCs w:val="21"/>
                <w:shd w:val="clear" w:color="auto" w:fill="FFFFFF"/>
                <w:vertAlign w:val="baseline"/>
                <w:lang w:val="en-US" w:eastAsia="zh-CN" w:bidi="ar-SA"/>
              </w:rPr>
            </w:pPr>
            <w:r>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t>不设限额</w:t>
            </w:r>
          </w:p>
        </w:tc>
        <w:tc>
          <w:tcPr>
            <w:tcW w:w="156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ascii="仿宋_GB2312" w:hAnsi="仿宋_GB2312" w:eastAsia="仿宋_GB2312" w:cs="仿宋_GB2312"/>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sz w:val="21"/>
                <w:szCs w:val="21"/>
                <w:lang w:val="en-US" w:eastAsia="zh-CN"/>
              </w:rPr>
              <w:t>门诊（慢特病和住院救助共用）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2"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t>救助比例</w:t>
            </w:r>
          </w:p>
        </w:tc>
        <w:tc>
          <w:tcPr>
            <w:tcW w:w="1058"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t>100%</w:t>
            </w:r>
          </w:p>
        </w:tc>
        <w:tc>
          <w:tcPr>
            <w:tcW w:w="1237"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t>75%</w:t>
            </w:r>
          </w:p>
        </w:tc>
        <w:tc>
          <w:tcPr>
            <w:tcW w:w="135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t>70%</w:t>
            </w:r>
          </w:p>
        </w:tc>
        <w:tc>
          <w:tcPr>
            <w:tcW w:w="139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t>65%</w:t>
            </w:r>
          </w:p>
        </w:tc>
        <w:tc>
          <w:tcPr>
            <w:tcW w:w="1665"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仿宋_GB2312" w:hAnsi="仿宋_GB2312" w:eastAsia="仿宋_GB2312" w:cs="仿宋_GB2312"/>
                <w:i w:val="0"/>
                <w:caps w:val="0"/>
                <w:color w:val="000000"/>
                <w:spacing w:val="0"/>
                <w:kern w:val="0"/>
                <w:sz w:val="21"/>
                <w:szCs w:val="21"/>
                <w:shd w:val="clear" w:color="auto" w:fill="FFFFFF"/>
                <w:vertAlign w:val="baseline"/>
                <w:lang w:val="en-US" w:eastAsia="zh-CN" w:bidi="ar-SA"/>
              </w:rPr>
            </w:pPr>
            <w:r>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t>80%</w:t>
            </w:r>
          </w:p>
        </w:tc>
        <w:tc>
          <w:tcPr>
            <w:tcW w:w="156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both"/>
              <w:textAlignment w:val="auto"/>
              <w:rPr>
                <w:rFonts w:hint="default" w:ascii="仿宋_GB2312" w:hAnsi="仿宋_GB2312" w:eastAsia="仿宋_GB2312" w:cs="仿宋_GB2312"/>
                <w:i w:val="0"/>
                <w:caps w:val="0"/>
                <w:color w:val="000000"/>
                <w:spacing w:val="0"/>
                <w:sz w:val="21"/>
                <w:szCs w:val="21"/>
                <w:shd w:val="clear" w:color="auto" w:fill="FFFFFF"/>
                <w:vertAlign w:val="baseline"/>
                <w:lang w:val="en-US" w:eastAsia="zh-CN"/>
              </w:rPr>
            </w:pPr>
            <w:r>
              <w:rPr>
                <w:rFonts w:hint="eastAsia" w:ascii="仿宋_GB2312" w:hAnsi="仿宋_GB2312" w:eastAsia="仿宋_GB2312" w:cs="仿宋_GB2312"/>
                <w:i w:val="0"/>
                <w:caps w:val="0"/>
                <w:color w:val="000000"/>
                <w:spacing w:val="0"/>
                <w:sz w:val="21"/>
                <w:szCs w:val="21"/>
                <w:shd w:val="clear" w:color="auto" w:fill="FFFFFF"/>
                <w:vertAlign w:val="baseline"/>
                <w:lang w:val="en-US" w:eastAsia="zh-CN"/>
              </w:rPr>
              <w:t>未按规定履行转院救助比例降低15%，危及生命的急危重症除外</w:t>
            </w:r>
          </w:p>
        </w:tc>
      </w:tr>
    </w:tbl>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特困人员</w:t>
      </w:r>
      <w:r>
        <w:rPr>
          <w:rFonts w:hint="eastAsia" w:ascii="仿宋_GB2312" w:hAnsi="仿宋_GB2312" w:eastAsia="仿宋_GB2312" w:cs="仿宋_GB2312"/>
          <w:kern w:val="2"/>
          <w:sz w:val="32"/>
          <w:szCs w:val="32"/>
          <w:lang w:val="en-US" w:eastAsia="zh-CN" w:bidi="ar-SA"/>
        </w:rPr>
        <w:t>（孤儿）</w:t>
      </w:r>
      <w:r>
        <w:rPr>
          <w:rFonts w:hint="default" w:ascii="仿宋_GB2312" w:hAnsi="仿宋_GB2312" w:eastAsia="仿宋_GB2312" w:cs="仿宋_GB2312"/>
          <w:kern w:val="2"/>
          <w:sz w:val="32"/>
          <w:szCs w:val="32"/>
          <w:lang w:val="en-US" w:eastAsia="zh-CN" w:bidi="ar-SA"/>
        </w:rPr>
        <w:t>、低保对象</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低保边缘对象</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农村易返贫致贫人口</w:t>
      </w:r>
      <w:r>
        <w:rPr>
          <w:rFonts w:hint="eastAsia" w:ascii="仿宋_GB2312" w:hAnsi="仿宋_GB2312" w:eastAsia="仿宋_GB2312" w:cs="仿宋_GB2312"/>
          <w:kern w:val="2"/>
          <w:sz w:val="32"/>
          <w:szCs w:val="32"/>
          <w:lang w:val="en-US" w:eastAsia="zh-CN" w:bidi="ar-SA"/>
        </w:rPr>
        <w:t>实行动态调整，纳入基本医保、大病保险、医疗救助“一单式”结算，在定点医疗机构直接报销。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15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医后救助人员由本人或共同生活的家庭成员向户籍所在地乡镇（街道）提出书面申请，乡镇（街道）负责医疗救助申报材料的受理、调查、审核和公示，县市医保部门根据乡镇（街道）审核意见和同级民政部门出具的家庭经济状况核对结果，对符合条件的医疗救助对象进行审批。对医疗救助对象发生合规医疗费用，按规定给予医疗救助，并进行公示。</w:t>
      </w:r>
    </w:p>
    <w:p>
      <w:pPr>
        <w:keepNext w:val="0"/>
        <w:keepLines w:val="0"/>
        <w:pageBreakBefore w:val="0"/>
        <w:numPr>
          <w:ilvl w:val="0"/>
          <w:numId w:val="2"/>
        </w:numPr>
        <w:kinsoku/>
        <w:wordWrap/>
        <w:overflowPunct/>
        <w:topLinePunct w:val="0"/>
        <w:bidi w:val="0"/>
        <w:snapToGrid/>
        <w:spacing w:line="560" w:lineRule="exact"/>
        <w:ind w:firstLine="640" w:firstLineChars="200"/>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“两病”（高血压、糖尿病）保障机制</w:t>
      </w:r>
    </w:p>
    <w:p>
      <w:pPr>
        <w:keepNext w:val="0"/>
        <w:keepLines w:val="0"/>
        <w:pageBreakBefore w:val="0"/>
        <w:numPr>
          <w:numId w:val="0"/>
        </w:numPr>
        <w:kinsoku/>
        <w:wordWrap/>
        <w:overflowPunct/>
        <w:topLinePunct w:val="0"/>
        <w:bidi w:val="0"/>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保障对象。一是城乡居民基本医疗保险的参保人员；二是经医疗机构诊断，明确患有“两病”确需采用药物治疗；三是未达到城乡居民医保门诊特殊慢性病鉴定标准；四是卫健部门已经建立健康档案的“两病”患者。</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147"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2.待遇支付</w:t>
      </w:r>
      <w:r>
        <w:rPr>
          <w:rFonts w:hint="eastAsia" w:ascii="仿宋_GB2312" w:hAnsi="仿宋_GB2312" w:eastAsia="仿宋_GB2312" w:cs="仿宋_GB2312"/>
          <w:spacing w:val="-20"/>
          <w:sz w:val="32"/>
          <w:szCs w:val="32"/>
          <w:lang w:val="en-US" w:eastAsia="zh-CN"/>
        </w:rPr>
        <w:t>。“两病”</w:t>
      </w:r>
      <w:r>
        <w:rPr>
          <w:rFonts w:hint="eastAsia" w:ascii="仿宋_GB2312" w:hAnsi="仿宋_GB2312" w:eastAsia="仿宋_GB2312" w:cs="仿宋_GB2312"/>
          <w:sz w:val="32"/>
          <w:szCs w:val="32"/>
          <w:lang w:val="en-US" w:eastAsia="zh-CN"/>
        </w:rPr>
        <w:t>患者在二级及以下医疗机构购药，报销比例为60%，高血压最高报销限额为200元，糖尿病最高报销限额为300元，高血压和糖尿病的最高报销限额可合并计算。</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147" w:firstLine="640" w:firstLineChars="200"/>
        <w:jc w:val="both"/>
        <w:textAlignment w:val="auto"/>
        <w:rPr>
          <w:rFonts w:hint="eastAsia" w:ascii="仿宋_GB2312" w:hAnsi="仿宋_GB2312" w:eastAsia="仿宋_GB2312" w:cs="仿宋_GB2312"/>
          <w:sz w:val="32"/>
          <w:szCs w:val="32"/>
          <w:lang w:val="en-US" w:eastAsia="zh-CN"/>
        </w:rPr>
      </w:pPr>
    </w:p>
    <w:tbl>
      <w:tblPr>
        <w:tblStyle w:val="9"/>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50"/>
        <w:gridCol w:w="2775"/>
        <w:gridCol w:w="3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65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both"/>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病种</w:t>
            </w:r>
          </w:p>
        </w:tc>
        <w:tc>
          <w:tcPr>
            <w:tcW w:w="277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门诊报销比例</w:t>
            </w:r>
          </w:p>
        </w:tc>
        <w:tc>
          <w:tcPr>
            <w:tcW w:w="325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最高支付限额（元）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两病（高血压）</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65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两病（糖尿病）</w:t>
            </w:r>
          </w:p>
        </w:tc>
        <w:tc>
          <w:tcPr>
            <w:tcW w:w="277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r>
    </w:tbl>
    <w:p>
      <w:pPr>
        <w:keepNext w:val="0"/>
        <w:keepLines w:val="0"/>
        <w:pageBreakBefore w:val="0"/>
        <w:kinsoku/>
        <w:wordWrap/>
        <w:overflowPunct/>
        <w:topLinePunct w:val="0"/>
        <w:bidi w:val="0"/>
        <w:snapToGrid/>
        <w:spacing w:line="560" w:lineRule="exact"/>
        <w:ind w:firstLine="640" w:firstLineChars="200"/>
        <w:jc w:val="both"/>
        <w:rPr>
          <w:rFonts w:hint="eastAsia" w:ascii="黑体" w:hAnsi="黑体" w:eastAsia="黑体" w:cs="黑体"/>
          <w:b w:val="0"/>
          <w:bCs/>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七、门诊慢特病资格认定及报销</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华文楷体" w:hAnsi="华文楷体" w:eastAsia="华文楷体" w:cs="华文楷体"/>
          <w:sz w:val="32"/>
          <w:szCs w:val="32"/>
          <w:lang w:val="en-US" w:eastAsia="zh-CN"/>
        </w:rPr>
        <w:t>1.门诊慢特病资格认定。</w:t>
      </w:r>
      <w:r>
        <w:rPr>
          <w:rFonts w:hint="eastAsia" w:ascii="仿宋_GB2312" w:hAnsi="仿宋_GB2312" w:eastAsia="仿宋_GB2312" w:cs="仿宋_GB2312"/>
          <w:sz w:val="32"/>
          <w:szCs w:val="32"/>
        </w:rPr>
        <w:t>参保患者</w:t>
      </w:r>
      <w:r>
        <w:rPr>
          <w:rFonts w:hint="eastAsia" w:ascii="仿宋_GB2312" w:hAnsi="仿宋_GB2312" w:eastAsia="仿宋_GB2312" w:cs="仿宋_GB2312"/>
          <w:sz w:val="32"/>
          <w:szCs w:val="32"/>
          <w:lang w:val="en-US" w:eastAsia="zh-CN"/>
        </w:rPr>
        <w:t>在伊犁州直范围内二级及以上定点医院住院，可直接向医院提出申请，经医院专家审核，将符合门诊慢特病标准的参保患者信息由医院直接录入医保慢病系统，复核通过后享受门诊慢特病待遇；伊犁州直外定点医院住院的参保患者，</w:t>
      </w:r>
      <w:r>
        <w:rPr>
          <w:rFonts w:hint="eastAsia" w:ascii="仿宋_GB2312" w:hAnsi="仿宋_GB2312" w:eastAsia="仿宋_GB2312" w:cs="仿宋_GB2312"/>
          <w:sz w:val="32"/>
          <w:szCs w:val="32"/>
        </w:rPr>
        <w:t>向参保</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所在县（市）医疗保障局提出申请，并提交</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级及以上医疗机构相关慢病治疗住院全套病历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身份证复印件1张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由医疗保障局组织专家审</w:t>
      </w:r>
      <w:r>
        <w:rPr>
          <w:rFonts w:hint="eastAsia" w:ascii="仿宋_GB2312" w:hAnsi="仿宋_GB2312" w:eastAsia="仿宋_GB2312" w:cs="仿宋_GB2312"/>
          <w:sz w:val="32"/>
          <w:szCs w:val="32"/>
          <w:lang w:val="en-US" w:eastAsia="zh-CN"/>
        </w:rPr>
        <w:t>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将符合门诊慢特病标准的参保患者信息录入医保慢病系统，复核通过后享受门诊慢特病待遇。</w:t>
      </w:r>
    </w:p>
    <w:p>
      <w:pPr>
        <w:pageBreakBefore w:val="0"/>
        <w:widowControl w:val="0"/>
        <w:kinsoku/>
        <w:wordWrap/>
        <w:overflowPunct/>
        <w:topLinePunct w:val="0"/>
        <w:autoSpaceDE w:val="0"/>
        <w:autoSpaceDN w:val="0"/>
        <w:bidi w:val="0"/>
        <w:adjustRightInd w:val="0"/>
        <w:snapToGrid w:val="0"/>
        <w:spacing w:line="560" w:lineRule="exact"/>
        <w:ind w:firstLine="640" w:firstLineChars="200"/>
        <w:jc w:val="both"/>
        <w:rPr>
          <w:rFonts w:hint="eastAsia" w:ascii="仿宋_GB2312" w:eastAsia="仿宋_GB2312"/>
          <w:sz w:val="30"/>
          <w:szCs w:val="30"/>
          <w:lang w:eastAsia="zh-CN"/>
        </w:rPr>
      </w:pPr>
      <w:r>
        <w:rPr>
          <w:rFonts w:hint="eastAsia" w:ascii="华文楷体" w:hAnsi="华文楷体" w:eastAsia="华文楷体" w:cs="华文楷体"/>
          <w:sz w:val="32"/>
          <w:szCs w:val="32"/>
          <w:lang w:val="en-US" w:eastAsia="zh-CN"/>
        </w:rPr>
        <w:t>2.门诊慢特病病种。</w:t>
      </w:r>
      <w:r>
        <w:rPr>
          <w:rFonts w:hint="eastAsia" w:ascii="仿宋_GB2312" w:hAnsi="仿宋_GB2312" w:eastAsia="仿宋_GB2312" w:cs="仿宋_GB2312"/>
          <w:sz w:val="32"/>
          <w:szCs w:val="32"/>
        </w:rPr>
        <w:t>城乡居民基本医疗门诊慢性病病种分为两类</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个病种</w:t>
      </w:r>
      <w:r>
        <w:rPr>
          <w:rFonts w:hint="eastAsia" w:ascii="仿宋_GB2312" w:eastAsia="仿宋_GB2312"/>
          <w:sz w:val="30"/>
          <w:szCs w:val="30"/>
          <w:lang w:eastAsia="zh-CN"/>
        </w:rPr>
        <w:t>。</w:t>
      </w:r>
    </w:p>
    <w:p>
      <w:pPr>
        <w:pageBreakBefore w:val="0"/>
        <w:widowControl w:val="0"/>
        <w:kinsoku/>
        <w:wordWrap/>
        <w:overflowPunct/>
        <w:topLinePunct w:val="0"/>
        <w:autoSpaceDE w:val="0"/>
        <w:autoSpaceDN w:val="0"/>
        <w:bidi w:val="0"/>
        <w:adjustRightInd w:val="0"/>
        <w:snapToGrid w:val="0"/>
        <w:spacing w:line="560" w:lineRule="exact"/>
        <w:ind w:firstLine="640"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一般慢性病27种：糖尿病、糖尿病伴有并发症、高血压2级、高血压3级、高血压并发症、脑内出血、脑血管病后遗症、脑梗死、肺源性心脏病、冠心病、冠状动脉支架置入术后状态，慢性阻塞性肺疾病、肝硬化、精神分裂症、系统性红斑狼疮、帕金森病、慢性肾炎、肾病综合症、肺结核、支气管哮喘、癫痫病、风湿性心脏病、类风湿关节炎、克汀病、包虫病、布鲁氏杆菌病、慢性乙型肝炎。</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特殊慢性病7种：恶性肿瘤门诊治疗（含白血病）、慢性肾功能衰竭、透析、器官移植抗排异治疗、耐多药肺结核、血友病、苯丙酮尿症。</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both"/>
        <w:rPr>
          <w:rFonts w:hint="eastAsia" w:ascii="仿宋_GB2312" w:hAnsi="仿宋_GB2312" w:eastAsia="仿宋_GB2312" w:cs="仿宋_GB2312"/>
          <w:sz w:val="32"/>
          <w:szCs w:val="32"/>
        </w:rPr>
      </w:pPr>
      <w:r>
        <w:rPr>
          <w:rFonts w:hint="eastAsia" w:ascii="华文楷体" w:hAnsi="华文楷体" w:eastAsia="华文楷体" w:cs="华文楷体"/>
          <w:sz w:val="32"/>
          <w:szCs w:val="32"/>
          <w:lang w:val="en-US" w:eastAsia="zh-CN"/>
        </w:rPr>
        <w:t>3.门诊慢特病报销政策：</w:t>
      </w:r>
      <w:r>
        <w:rPr>
          <w:rFonts w:hint="eastAsia" w:ascii="仿宋_GB2312" w:hAnsi="仿宋_GB2312" w:eastAsia="仿宋_GB2312" w:cs="仿宋_GB2312"/>
          <w:sz w:val="32"/>
          <w:szCs w:val="32"/>
        </w:rPr>
        <w:t>一般慢性病政策范围内的医疗费用由</w:t>
      </w:r>
      <w:r>
        <w:rPr>
          <w:rFonts w:hint="eastAsia" w:ascii="仿宋_GB2312" w:hAnsi="仿宋_GB2312" w:eastAsia="仿宋_GB2312" w:cs="仿宋_GB2312"/>
          <w:sz w:val="32"/>
          <w:szCs w:val="32"/>
          <w:lang w:eastAsia="zh-CN"/>
        </w:rPr>
        <w:t>医保</w:t>
      </w:r>
      <w:r>
        <w:rPr>
          <w:rFonts w:hint="eastAsia" w:ascii="仿宋_GB2312" w:hAnsi="仿宋_GB2312" w:eastAsia="仿宋_GB2312" w:cs="仿宋_GB2312"/>
          <w:sz w:val="32"/>
          <w:szCs w:val="32"/>
        </w:rPr>
        <w:t>统筹资金按照60%的比例支付，统筹最高支付限额3000元。特殊慢性病政策范围内的医疗费用由</w:t>
      </w:r>
      <w:r>
        <w:rPr>
          <w:rFonts w:hint="eastAsia" w:ascii="仿宋_GB2312" w:hAnsi="仿宋_GB2312" w:eastAsia="仿宋_GB2312" w:cs="仿宋_GB2312"/>
          <w:sz w:val="32"/>
          <w:szCs w:val="32"/>
          <w:lang w:eastAsia="zh-CN"/>
        </w:rPr>
        <w:t>医保</w:t>
      </w:r>
      <w:r>
        <w:rPr>
          <w:rFonts w:hint="eastAsia" w:ascii="仿宋_GB2312" w:hAnsi="仿宋_GB2312" w:eastAsia="仿宋_GB2312" w:cs="仿宋_GB2312"/>
          <w:sz w:val="32"/>
          <w:szCs w:val="32"/>
        </w:rPr>
        <w:t>统筹资金按照80%的比例支付，不设限额。</w:t>
      </w:r>
    </w:p>
    <w:p>
      <w:pPr>
        <w:spacing w:line="500" w:lineRule="exact"/>
        <w:rPr>
          <w:rFonts w:ascii="仿宋_GB2312" w:hAnsi="仿宋_GB2312" w:eastAsia="仿宋_GB2312" w:cs="仿宋_GB2312"/>
          <w:bCs/>
          <w:sz w:val="32"/>
          <w:szCs w:val="32"/>
        </w:rPr>
      </w:pPr>
      <w:bookmarkStart w:id="0" w:name="_GoBack"/>
      <w:bookmarkEnd w:id="0"/>
    </w:p>
    <w:sectPr>
      <w:pgSz w:w="11906" w:h="16838"/>
      <w:pgMar w:top="2098" w:right="1531" w:bottom="2041"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04A3F2"/>
    <w:multiLevelType w:val="singleLevel"/>
    <w:tmpl w:val="C204A3F2"/>
    <w:lvl w:ilvl="0" w:tentative="0">
      <w:start w:val="6"/>
      <w:numFmt w:val="chineseCounting"/>
      <w:suff w:val="nothing"/>
      <w:lvlText w:val="%1、"/>
      <w:lvlJc w:val="left"/>
      <w:rPr>
        <w:rFonts w:hint="eastAsia"/>
      </w:rPr>
    </w:lvl>
  </w:abstractNum>
  <w:abstractNum w:abstractNumId="1">
    <w:nsid w:val="76C0AA9B"/>
    <w:multiLevelType w:val="singleLevel"/>
    <w:tmpl w:val="76C0AA9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040"/>
    <w:rsid w:val="0001540F"/>
    <w:rsid w:val="00025040"/>
    <w:rsid w:val="000A48BD"/>
    <w:rsid w:val="000E58DD"/>
    <w:rsid w:val="00191CEB"/>
    <w:rsid w:val="001A4682"/>
    <w:rsid w:val="001E0135"/>
    <w:rsid w:val="002011D5"/>
    <w:rsid w:val="00207A43"/>
    <w:rsid w:val="00222B5F"/>
    <w:rsid w:val="00263745"/>
    <w:rsid w:val="00274B94"/>
    <w:rsid w:val="002844BF"/>
    <w:rsid w:val="002D3128"/>
    <w:rsid w:val="002E1654"/>
    <w:rsid w:val="002E37F1"/>
    <w:rsid w:val="002F031B"/>
    <w:rsid w:val="00316330"/>
    <w:rsid w:val="00332F5C"/>
    <w:rsid w:val="00343ECB"/>
    <w:rsid w:val="00354F37"/>
    <w:rsid w:val="0039292F"/>
    <w:rsid w:val="003C0F01"/>
    <w:rsid w:val="003C3C9D"/>
    <w:rsid w:val="003F5A93"/>
    <w:rsid w:val="00431CB9"/>
    <w:rsid w:val="00443BC4"/>
    <w:rsid w:val="00456CC0"/>
    <w:rsid w:val="0046483F"/>
    <w:rsid w:val="0046532C"/>
    <w:rsid w:val="004A4188"/>
    <w:rsid w:val="004B5F9E"/>
    <w:rsid w:val="004D67C9"/>
    <w:rsid w:val="005376B1"/>
    <w:rsid w:val="00557116"/>
    <w:rsid w:val="00587C59"/>
    <w:rsid w:val="005B7A08"/>
    <w:rsid w:val="005D11B2"/>
    <w:rsid w:val="005E4E42"/>
    <w:rsid w:val="006100A3"/>
    <w:rsid w:val="0062654F"/>
    <w:rsid w:val="006542D0"/>
    <w:rsid w:val="0068062B"/>
    <w:rsid w:val="006C1D30"/>
    <w:rsid w:val="006D6519"/>
    <w:rsid w:val="00720D2E"/>
    <w:rsid w:val="00736911"/>
    <w:rsid w:val="00770AA5"/>
    <w:rsid w:val="00793D15"/>
    <w:rsid w:val="0079530C"/>
    <w:rsid w:val="007C70EF"/>
    <w:rsid w:val="007E4760"/>
    <w:rsid w:val="007F41FF"/>
    <w:rsid w:val="008138EB"/>
    <w:rsid w:val="0086565D"/>
    <w:rsid w:val="00867997"/>
    <w:rsid w:val="008748E5"/>
    <w:rsid w:val="00890E23"/>
    <w:rsid w:val="008A3F1B"/>
    <w:rsid w:val="008D2C1B"/>
    <w:rsid w:val="008F4614"/>
    <w:rsid w:val="00926BC5"/>
    <w:rsid w:val="0093174D"/>
    <w:rsid w:val="00932C7E"/>
    <w:rsid w:val="00952966"/>
    <w:rsid w:val="00954E68"/>
    <w:rsid w:val="00983E09"/>
    <w:rsid w:val="009A685E"/>
    <w:rsid w:val="009B1448"/>
    <w:rsid w:val="009B679D"/>
    <w:rsid w:val="009C7A86"/>
    <w:rsid w:val="009E05BF"/>
    <w:rsid w:val="009E684F"/>
    <w:rsid w:val="009F0F4A"/>
    <w:rsid w:val="00A02C02"/>
    <w:rsid w:val="00A04E5D"/>
    <w:rsid w:val="00A0740C"/>
    <w:rsid w:val="00A23B11"/>
    <w:rsid w:val="00A26D5D"/>
    <w:rsid w:val="00A30A5B"/>
    <w:rsid w:val="00A33299"/>
    <w:rsid w:val="00A477BF"/>
    <w:rsid w:val="00AD35D3"/>
    <w:rsid w:val="00AE1F57"/>
    <w:rsid w:val="00AE4AC8"/>
    <w:rsid w:val="00B00E12"/>
    <w:rsid w:val="00B0334F"/>
    <w:rsid w:val="00B22A50"/>
    <w:rsid w:val="00B50D0F"/>
    <w:rsid w:val="00B57136"/>
    <w:rsid w:val="00B93B44"/>
    <w:rsid w:val="00BA1AF5"/>
    <w:rsid w:val="00BD401A"/>
    <w:rsid w:val="00BD7A82"/>
    <w:rsid w:val="00BE63E9"/>
    <w:rsid w:val="00BF383E"/>
    <w:rsid w:val="00C12A40"/>
    <w:rsid w:val="00C317E8"/>
    <w:rsid w:val="00C646F4"/>
    <w:rsid w:val="00C70AAE"/>
    <w:rsid w:val="00C72725"/>
    <w:rsid w:val="00C81F31"/>
    <w:rsid w:val="00C82BDA"/>
    <w:rsid w:val="00CA2E21"/>
    <w:rsid w:val="00CB28E2"/>
    <w:rsid w:val="00CB2EF2"/>
    <w:rsid w:val="00CB6BEF"/>
    <w:rsid w:val="00CB7910"/>
    <w:rsid w:val="00CD6832"/>
    <w:rsid w:val="00CD7C86"/>
    <w:rsid w:val="00CE44BE"/>
    <w:rsid w:val="00D31543"/>
    <w:rsid w:val="00D55154"/>
    <w:rsid w:val="00D65D0D"/>
    <w:rsid w:val="00D72328"/>
    <w:rsid w:val="00D84E49"/>
    <w:rsid w:val="00DB7841"/>
    <w:rsid w:val="00DC14E6"/>
    <w:rsid w:val="00DE4E4F"/>
    <w:rsid w:val="00DE68DF"/>
    <w:rsid w:val="00EC4173"/>
    <w:rsid w:val="00EC7C2D"/>
    <w:rsid w:val="00ED1BBB"/>
    <w:rsid w:val="00F02551"/>
    <w:rsid w:val="00F22614"/>
    <w:rsid w:val="00F478E3"/>
    <w:rsid w:val="00F52541"/>
    <w:rsid w:val="00F52F63"/>
    <w:rsid w:val="00FC0B6C"/>
    <w:rsid w:val="02386169"/>
    <w:rsid w:val="02402EC0"/>
    <w:rsid w:val="0357185F"/>
    <w:rsid w:val="03D407C4"/>
    <w:rsid w:val="040E7E94"/>
    <w:rsid w:val="09241B93"/>
    <w:rsid w:val="095B2E7A"/>
    <w:rsid w:val="0A6C0272"/>
    <w:rsid w:val="0B9B2395"/>
    <w:rsid w:val="0BD807DD"/>
    <w:rsid w:val="0D083B59"/>
    <w:rsid w:val="0D591574"/>
    <w:rsid w:val="0DBE0DD6"/>
    <w:rsid w:val="114B567D"/>
    <w:rsid w:val="11DE1848"/>
    <w:rsid w:val="145871BD"/>
    <w:rsid w:val="14C3401F"/>
    <w:rsid w:val="16897C2C"/>
    <w:rsid w:val="18104D99"/>
    <w:rsid w:val="193B1F71"/>
    <w:rsid w:val="197A7C8A"/>
    <w:rsid w:val="19C74329"/>
    <w:rsid w:val="1A5D7826"/>
    <w:rsid w:val="1CCB3512"/>
    <w:rsid w:val="1CF40DFE"/>
    <w:rsid w:val="1E5F5C8D"/>
    <w:rsid w:val="1F6664B6"/>
    <w:rsid w:val="20D36EA7"/>
    <w:rsid w:val="22790D9D"/>
    <w:rsid w:val="22CF2DDB"/>
    <w:rsid w:val="23801D49"/>
    <w:rsid w:val="23B13E8C"/>
    <w:rsid w:val="244A69BC"/>
    <w:rsid w:val="244D519F"/>
    <w:rsid w:val="2471616B"/>
    <w:rsid w:val="247B6E9A"/>
    <w:rsid w:val="263D70D1"/>
    <w:rsid w:val="274A4188"/>
    <w:rsid w:val="27BF6BAE"/>
    <w:rsid w:val="27D506F3"/>
    <w:rsid w:val="27E54A80"/>
    <w:rsid w:val="287027FF"/>
    <w:rsid w:val="2C582BF8"/>
    <w:rsid w:val="2CA2170D"/>
    <w:rsid w:val="2CB57406"/>
    <w:rsid w:val="2CFB6D91"/>
    <w:rsid w:val="2D9A3541"/>
    <w:rsid w:val="2DD26538"/>
    <w:rsid w:val="2E3B4CB2"/>
    <w:rsid w:val="30590D3B"/>
    <w:rsid w:val="30EC3F2A"/>
    <w:rsid w:val="30FD16C3"/>
    <w:rsid w:val="32A55C21"/>
    <w:rsid w:val="34204035"/>
    <w:rsid w:val="352D3315"/>
    <w:rsid w:val="35483D03"/>
    <w:rsid w:val="35556C54"/>
    <w:rsid w:val="37FF8D4B"/>
    <w:rsid w:val="394A0304"/>
    <w:rsid w:val="3A35120E"/>
    <w:rsid w:val="3D074610"/>
    <w:rsid w:val="3D300E7A"/>
    <w:rsid w:val="3FB2282A"/>
    <w:rsid w:val="406C0262"/>
    <w:rsid w:val="41B51E23"/>
    <w:rsid w:val="439C0A11"/>
    <w:rsid w:val="45090661"/>
    <w:rsid w:val="45CB17A1"/>
    <w:rsid w:val="463A5581"/>
    <w:rsid w:val="468E28D8"/>
    <w:rsid w:val="46D27216"/>
    <w:rsid w:val="47E83B4A"/>
    <w:rsid w:val="47FC013F"/>
    <w:rsid w:val="48343B0F"/>
    <w:rsid w:val="48DC2D39"/>
    <w:rsid w:val="48DD139C"/>
    <w:rsid w:val="4AF81276"/>
    <w:rsid w:val="4B1D5C32"/>
    <w:rsid w:val="4BA83303"/>
    <w:rsid w:val="4C6F74A2"/>
    <w:rsid w:val="4CB76B19"/>
    <w:rsid w:val="4CCB25E4"/>
    <w:rsid w:val="4DC93ECC"/>
    <w:rsid w:val="4DE47443"/>
    <w:rsid w:val="4E1F52BA"/>
    <w:rsid w:val="50FA7548"/>
    <w:rsid w:val="52127D4D"/>
    <w:rsid w:val="524D6516"/>
    <w:rsid w:val="53A50911"/>
    <w:rsid w:val="54375E3A"/>
    <w:rsid w:val="55890A24"/>
    <w:rsid w:val="55AB046E"/>
    <w:rsid w:val="56B0671C"/>
    <w:rsid w:val="56FF3C01"/>
    <w:rsid w:val="57D57008"/>
    <w:rsid w:val="58105E4B"/>
    <w:rsid w:val="598A1273"/>
    <w:rsid w:val="59AB25AC"/>
    <w:rsid w:val="5A427129"/>
    <w:rsid w:val="5B6105B9"/>
    <w:rsid w:val="5BA970FA"/>
    <w:rsid w:val="5BD11BA5"/>
    <w:rsid w:val="5BE539DB"/>
    <w:rsid w:val="5C7C12A7"/>
    <w:rsid w:val="5D75307F"/>
    <w:rsid w:val="5F1B69D2"/>
    <w:rsid w:val="5FB4440F"/>
    <w:rsid w:val="61563B00"/>
    <w:rsid w:val="629F4F24"/>
    <w:rsid w:val="62FB379F"/>
    <w:rsid w:val="6318012F"/>
    <w:rsid w:val="631F7CAE"/>
    <w:rsid w:val="6388503C"/>
    <w:rsid w:val="655247D5"/>
    <w:rsid w:val="66486604"/>
    <w:rsid w:val="66605C7D"/>
    <w:rsid w:val="66C67529"/>
    <w:rsid w:val="673D12E0"/>
    <w:rsid w:val="686846A4"/>
    <w:rsid w:val="686C60E4"/>
    <w:rsid w:val="697C6888"/>
    <w:rsid w:val="698E3710"/>
    <w:rsid w:val="6D3D0FD8"/>
    <w:rsid w:val="6D891E57"/>
    <w:rsid w:val="6DD42637"/>
    <w:rsid w:val="6DF30CEB"/>
    <w:rsid w:val="6E647498"/>
    <w:rsid w:val="6E94732E"/>
    <w:rsid w:val="6F012F96"/>
    <w:rsid w:val="6F8B5D0F"/>
    <w:rsid w:val="709A1682"/>
    <w:rsid w:val="70F133F4"/>
    <w:rsid w:val="70F84053"/>
    <w:rsid w:val="7105609C"/>
    <w:rsid w:val="71A1198F"/>
    <w:rsid w:val="729761C7"/>
    <w:rsid w:val="73065439"/>
    <w:rsid w:val="747E452E"/>
    <w:rsid w:val="75957171"/>
    <w:rsid w:val="75EB15F7"/>
    <w:rsid w:val="76557CAE"/>
    <w:rsid w:val="76943C19"/>
    <w:rsid w:val="77212C85"/>
    <w:rsid w:val="77B2E558"/>
    <w:rsid w:val="77F42143"/>
    <w:rsid w:val="77F604A2"/>
    <w:rsid w:val="783A77CC"/>
    <w:rsid w:val="785E1ECC"/>
    <w:rsid w:val="791E10C4"/>
    <w:rsid w:val="79935372"/>
    <w:rsid w:val="799E1B4A"/>
    <w:rsid w:val="79B7167F"/>
    <w:rsid w:val="7A67448F"/>
    <w:rsid w:val="7AC95432"/>
    <w:rsid w:val="7D280FC1"/>
    <w:rsid w:val="7FAABD2A"/>
    <w:rsid w:val="7FD6B026"/>
    <w:rsid w:val="7FFB223C"/>
    <w:rsid w:val="B93F3C7F"/>
    <w:rsid w:val="BFFF85C2"/>
    <w:rsid w:val="DFF6B527"/>
    <w:rsid w:val="EBEFE30D"/>
    <w:rsid w:val="EBFBDC6F"/>
    <w:rsid w:val="EDF17D97"/>
    <w:rsid w:val="FBECEEC2"/>
    <w:rsid w:val="FF3E1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6"/>
    <w:basedOn w:val="1"/>
    <w:next w:val="1"/>
    <w:link w:val="14"/>
    <w:qFormat/>
    <w:uiPriority w:val="0"/>
    <w:pPr>
      <w:keepNext/>
      <w:keepLines/>
      <w:spacing w:before="240" w:after="64" w:line="320" w:lineRule="auto"/>
      <w:outlineLvl w:val="5"/>
    </w:pPr>
    <w:rPr>
      <w:rFonts w:ascii="Arial" w:hAnsi="Arial" w:eastAsia="黑体" w:cs="Times New Roman"/>
      <w:b/>
      <w:bCs/>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Char"/>
    <w:basedOn w:val="1"/>
    <w:qFormat/>
    <w:uiPriority w:val="99"/>
    <w:pPr>
      <w:widowControl/>
      <w:spacing w:after="160" w:line="240" w:lineRule="exact"/>
      <w:jc w:val="left"/>
    </w:pPr>
  </w:style>
  <w:style w:type="paragraph" w:styleId="4">
    <w:name w:val="annotation text"/>
    <w:basedOn w:val="1"/>
    <w:qFormat/>
    <w:uiPriority w:val="0"/>
    <w:pPr>
      <w:jc w:val="left"/>
    </w:pPr>
  </w:style>
  <w:style w:type="paragraph" w:styleId="5">
    <w:name w:val="Date"/>
    <w:basedOn w:val="1"/>
    <w:next w:val="1"/>
    <w:link w:val="13"/>
    <w:qFormat/>
    <w:uiPriority w:val="0"/>
    <w:pPr>
      <w:ind w:left="100" w:leftChars="2500"/>
    </w:p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日期 Char"/>
    <w:basedOn w:val="11"/>
    <w:link w:val="5"/>
    <w:qFormat/>
    <w:uiPriority w:val="0"/>
    <w:rPr>
      <w:rFonts w:asciiTheme="minorHAnsi" w:hAnsiTheme="minorHAnsi" w:eastAsiaTheme="minorEastAsia" w:cstheme="minorBidi"/>
      <w:kern w:val="2"/>
      <w:sz w:val="21"/>
      <w:szCs w:val="24"/>
    </w:rPr>
  </w:style>
  <w:style w:type="character" w:customStyle="1" w:styleId="14">
    <w:name w:val="标题 6 Char"/>
    <w:basedOn w:val="11"/>
    <w:link w:val="3"/>
    <w:qFormat/>
    <w:uiPriority w:val="0"/>
    <w:rPr>
      <w:rFonts w:ascii="Arial" w:hAnsi="Arial" w:eastAsia="黑体"/>
      <w:b/>
      <w:bCs/>
      <w:kern w:val="2"/>
      <w:sz w:val="24"/>
      <w:szCs w:val="24"/>
    </w:rPr>
  </w:style>
  <w:style w:type="character" w:customStyle="1" w:styleId="15">
    <w:name w:val="页眉 Char"/>
    <w:basedOn w:val="11"/>
    <w:link w:val="7"/>
    <w:qFormat/>
    <w:uiPriority w:val="0"/>
    <w:rPr>
      <w:rFonts w:asciiTheme="minorHAnsi" w:hAnsiTheme="minorHAnsi" w:eastAsiaTheme="minorEastAsia" w:cstheme="minorBidi"/>
      <w:kern w:val="2"/>
      <w:sz w:val="18"/>
      <w:szCs w:val="18"/>
    </w:rPr>
  </w:style>
  <w:style w:type="character" w:customStyle="1" w:styleId="16">
    <w:name w:val="页脚 Char"/>
    <w:basedOn w:val="11"/>
    <w:link w:val="6"/>
    <w:qFormat/>
    <w:uiPriority w:val="0"/>
    <w:rPr>
      <w:rFonts w:asciiTheme="minorHAnsi" w:hAnsiTheme="minorHAnsi" w:eastAsiaTheme="minorEastAsia" w:cstheme="minorBidi"/>
      <w:kern w:val="2"/>
      <w:sz w:val="18"/>
      <w:szCs w:val="18"/>
    </w:rPr>
  </w:style>
  <w:style w:type="paragraph" w:styleId="17">
    <w:name w:val="List Paragraph"/>
    <w:basedOn w:val="1"/>
    <w:unhideWhenUsed/>
    <w:qFormat/>
    <w:uiPriority w:val="99"/>
    <w:pPr>
      <w:ind w:firstLine="420" w:firstLineChars="200"/>
    </w:pPr>
  </w:style>
  <w:style w:type="character" w:customStyle="1" w:styleId="18">
    <w:name w:val="font11"/>
    <w:basedOn w:val="11"/>
    <w:qFormat/>
    <w:uiPriority w:val="0"/>
    <w:rPr>
      <w:rFonts w:hint="eastAsia" w:ascii="宋体" w:hAnsi="宋体" w:eastAsia="宋体" w:cs="宋体"/>
      <w:color w:val="000000"/>
      <w:sz w:val="20"/>
      <w:szCs w:val="20"/>
      <w:u w:val="none"/>
    </w:rPr>
  </w:style>
  <w:style w:type="character" w:customStyle="1" w:styleId="19">
    <w:name w:val="font01"/>
    <w:basedOn w:val="11"/>
    <w:qFormat/>
    <w:uiPriority w:val="0"/>
    <w:rPr>
      <w:rFonts w:hint="default" w:ascii="Arial" w:hAnsi="Arial" w:cs="Arial"/>
      <w:color w:val="000000"/>
      <w:sz w:val="20"/>
      <w:szCs w:val="20"/>
      <w:u w:val="none"/>
    </w:rPr>
  </w:style>
  <w:style w:type="character" w:customStyle="1" w:styleId="20">
    <w:name w:val="font21"/>
    <w:basedOn w:val="11"/>
    <w:qFormat/>
    <w:uiPriority w:val="0"/>
    <w:rPr>
      <w:rFonts w:hint="eastAsia" w:ascii="宋体" w:hAnsi="宋体" w:eastAsia="宋体" w:cs="宋体"/>
      <w:color w:val="000000"/>
      <w:sz w:val="16"/>
      <w:szCs w:val="16"/>
      <w:u w:val="none"/>
    </w:rPr>
  </w:style>
  <w:style w:type="paragraph" w:customStyle="1" w:styleId="21">
    <w:name w:val="样式 小四 黑色 左 行距: 1.5 倍行距"/>
    <w:basedOn w:val="1"/>
    <w:qFormat/>
    <w:uiPriority w:val="0"/>
    <w:pPr>
      <w:adjustRightInd w:val="0"/>
      <w:snapToGrid w:val="0"/>
      <w:spacing w:line="360" w:lineRule="auto"/>
      <w:ind w:firstLine="200" w:firstLineChars="200"/>
      <w:jc w:val="left"/>
    </w:pPr>
    <w:rPr>
      <w:snapToGrid w:val="0"/>
      <w:color w:val="00000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287</Words>
  <Characters>1636</Characters>
  <Lines>13</Lines>
  <Paragraphs>3</Paragraphs>
  <TotalTime>24</TotalTime>
  <ScaleCrop>false</ScaleCrop>
  <LinksUpToDate>false</LinksUpToDate>
  <CharactersWithSpaces>1920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2019-08-22T00:19:00Z</dcterms:created>
  <dc:creator>lenovo</dc:creator>
  <cp:lastModifiedBy>Administrator</cp:lastModifiedBy>
  <cp:lastPrinted>2023-03-19T01:46:00Z</cp:lastPrinted>
  <dcterms:modified xsi:type="dcterms:W3CDTF">2023-11-08T10:35:54Z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5E3773F4EDC14E989F00ECFCEB6F3436</vt:lpwstr>
  </property>
</Properties>
</file>